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F4D1F41" w:rsidR="00E90E49" w:rsidRPr="001F764B" w:rsidRDefault="00E90E49" w:rsidP="00E35559">
      <w:pPr>
        <w:pStyle w:val="3GPPHeader"/>
        <w:spacing w:after="60"/>
        <w:rPr>
          <w:sz w:val="32"/>
          <w:szCs w:val="32"/>
          <w:highlight w:val="yellow"/>
        </w:rPr>
      </w:pPr>
      <w:bookmarkStart w:id="0" w:name="_GoBack"/>
      <w:bookmarkEnd w:id="0"/>
      <w:r w:rsidRPr="001F764B">
        <w:t>3GPP TSG-RAN WG</w:t>
      </w:r>
      <w:r w:rsidR="008F1C4E" w:rsidRPr="001F764B">
        <w:t>1</w:t>
      </w:r>
      <w:r w:rsidRPr="001F764B">
        <w:t xml:space="preserve"> </w:t>
      </w:r>
      <w:r w:rsidR="008F1C4E" w:rsidRPr="001F764B">
        <w:t xml:space="preserve">Meeting </w:t>
      </w:r>
      <w:r w:rsidRPr="001F764B">
        <w:t>#</w:t>
      </w:r>
      <w:r w:rsidR="007434CD">
        <w:t>10</w:t>
      </w:r>
      <w:r w:rsidR="0081032C">
        <w:t>2-e</w:t>
      </w:r>
      <w:r w:rsidRPr="001F764B">
        <w:tab/>
      </w:r>
      <w:r w:rsidR="000C72EF" w:rsidRPr="0006470B">
        <w:rPr>
          <w:sz w:val="32"/>
          <w:szCs w:val="32"/>
        </w:rPr>
        <w:t>R1-</w:t>
      </w:r>
      <w:r w:rsidR="007434CD" w:rsidRPr="0006470B">
        <w:rPr>
          <w:sz w:val="32"/>
          <w:szCs w:val="32"/>
        </w:rPr>
        <w:t>20</w:t>
      </w:r>
      <w:r w:rsidR="0006470B" w:rsidRPr="0006470B">
        <w:rPr>
          <w:sz w:val="32"/>
          <w:szCs w:val="32"/>
        </w:rPr>
        <w:t>06465</w:t>
      </w:r>
    </w:p>
    <w:p w14:paraId="60A5317D" w14:textId="3487424E" w:rsidR="00E90E49" w:rsidRDefault="0081032C" w:rsidP="00357380">
      <w:pPr>
        <w:pStyle w:val="3GPPHeader"/>
      </w:pPr>
      <w:r>
        <w:t>e-Meeting</w:t>
      </w:r>
      <w:r w:rsidR="00E7243C" w:rsidRPr="0052454F">
        <w:t xml:space="preserve">, </w:t>
      </w:r>
      <w:r>
        <w:t>August 17</w:t>
      </w:r>
      <w:r w:rsidR="00E7243C" w:rsidRPr="0081032C">
        <w:rPr>
          <w:vertAlign w:val="superscript"/>
        </w:rPr>
        <w:t>th</w:t>
      </w:r>
      <w:r w:rsidR="00E7243C" w:rsidRPr="0052454F">
        <w:t xml:space="preserve"> – </w:t>
      </w:r>
      <w:r w:rsidR="00E7243C">
        <w:t>2</w:t>
      </w:r>
      <w:r w:rsidR="007434CD">
        <w:t>8</w:t>
      </w:r>
      <w:r w:rsidR="00E7243C" w:rsidRPr="0081032C">
        <w:rPr>
          <w:vertAlign w:val="superscript"/>
        </w:rPr>
        <w:t>th</w:t>
      </w:r>
      <w:r>
        <w:t>,</w:t>
      </w:r>
      <w:r w:rsidR="00E7243C" w:rsidRPr="0052454F">
        <w:t xml:space="preserve"> 20</w:t>
      </w:r>
      <w:r w:rsidR="007434CD">
        <w:t>20</w:t>
      </w:r>
    </w:p>
    <w:p w14:paraId="468E045B" w14:textId="77777777" w:rsidR="00E7243C" w:rsidRPr="001F764B" w:rsidRDefault="00E7243C" w:rsidP="00357380">
      <w:pPr>
        <w:pStyle w:val="3GPPHeader"/>
      </w:pPr>
    </w:p>
    <w:p w14:paraId="3C6869D1" w14:textId="1AB6E5AF" w:rsidR="00E90E49" w:rsidRPr="001F764B" w:rsidRDefault="00E90E49" w:rsidP="00311702">
      <w:pPr>
        <w:pStyle w:val="3GPPHeader"/>
        <w:rPr>
          <w:sz w:val="22"/>
        </w:rPr>
      </w:pPr>
      <w:r w:rsidRPr="001F764B">
        <w:rPr>
          <w:sz w:val="22"/>
        </w:rPr>
        <w:t>Agenda Item:</w:t>
      </w:r>
      <w:r w:rsidRPr="001F764B">
        <w:rPr>
          <w:sz w:val="22"/>
        </w:rPr>
        <w:tab/>
      </w:r>
      <w:r w:rsidR="007434CD">
        <w:rPr>
          <w:sz w:val="22"/>
        </w:rPr>
        <w:t>8</w:t>
      </w:r>
      <w:r w:rsidR="006500B6" w:rsidRPr="001F764B">
        <w:rPr>
          <w:sz w:val="22"/>
        </w:rPr>
        <w:t>.</w:t>
      </w:r>
      <w:r w:rsidR="007434CD">
        <w:rPr>
          <w:sz w:val="22"/>
        </w:rPr>
        <w:t>4.</w:t>
      </w:r>
      <w:r w:rsidR="00432D1E">
        <w:rPr>
          <w:sz w:val="22"/>
        </w:rPr>
        <w:t>3</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143582FA" w:rsidR="00E90E49" w:rsidRPr="001F764B" w:rsidRDefault="003D3C45" w:rsidP="00311702">
      <w:pPr>
        <w:pStyle w:val="3GPPHeader"/>
        <w:rPr>
          <w:sz w:val="22"/>
        </w:rPr>
      </w:pPr>
      <w:r w:rsidRPr="001F764B">
        <w:rPr>
          <w:sz w:val="22"/>
        </w:rPr>
        <w:t>Title:</w:t>
      </w:r>
      <w:r w:rsidR="00E90E49" w:rsidRPr="001F764B">
        <w:rPr>
          <w:sz w:val="22"/>
        </w:rPr>
        <w:tab/>
      </w:r>
      <w:r w:rsidR="00915D11" w:rsidRPr="00915D11">
        <w:rPr>
          <w:sz w:val="22"/>
        </w:rPr>
        <w:t xml:space="preserve">On </w:t>
      </w:r>
      <w:r w:rsidR="00432D1E">
        <w:rPr>
          <w:sz w:val="22"/>
        </w:rPr>
        <w:t>HARQ</w:t>
      </w:r>
      <w:r w:rsidR="007434CD">
        <w:rPr>
          <w:sz w:val="22"/>
        </w:rPr>
        <w:t xml:space="preserve"> enhancements</w:t>
      </w:r>
      <w:r w:rsidR="00915D11" w:rsidRPr="00915D11">
        <w:rPr>
          <w:sz w:val="22"/>
        </w:rPr>
        <w:t xml:space="preserve"> for NTN</w:t>
      </w:r>
    </w:p>
    <w:p w14:paraId="76893D37" w14:textId="6ED9F32B" w:rsidR="00E90E49" w:rsidRPr="001F764B" w:rsidRDefault="00E90E49" w:rsidP="000E5128">
      <w:pPr>
        <w:pStyle w:val="3GPPHeader"/>
        <w:rPr>
          <w:sz w:val="22"/>
        </w:rPr>
      </w:pPr>
      <w:r w:rsidRPr="001F764B">
        <w:rPr>
          <w:sz w:val="22"/>
        </w:rPr>
        <w:t>Document for:</w:t>
      </w:r>
      <w:r w:rsidRPr="001F764B">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1E42B39A" w14:textId="1069F368" w:rsidR="00432D1E" w:rsidRDefault="007434CD" w:rsidP="000E5128">
      <w:pPr>
        <w:jc w:val="both"/>
        <w:rPr>
          <w:rFonts w:ascii="Arial" w:hAnsi="Arial"/>
        </w:rPr>
      </w:pPr>
      <w:r w:rsidRPr="00697181">
        <w:rPr>
          <w:rFonts w:ascii="Arial" w:hAnsi="Arial"/>
        </w:rPr>
        <w:t>The work item on solutions for NR to support non-terrestrial networks (NTN) was approved at RAN#86</w:t>
      </w:r>
      <w:r w:rsidR="0081032C" w:rsidRPr="00697181">
        <w:rPr>
          <w:rFonts w:ascii="Arial" w:hAnsi="Arial"/>
        </w:rPr>
        <w:t xml:space="preserve"> and the work item description</w:t>
      </w:r>
      <w:r w:rsidR="00432D1E">
        <w:rPr>
          <w:rFonts w:ascii="Arial" w:hAnsi="Arial"/>
        </w:rPr>
        <w:t xml:space="preserve"> (WID)</w:t>
      </w:r>
      <w:r w:rsidR="0081032C" w:rsidRPr="00697181">
        <w:rPr>
          <w:rFonts w:ascii="Arial" w:hAnsi="Arial"/>
        </w:rPr>
        <w:t xml:space="preserve"> is updated in </w:t>
      </w:r>
      <w:r w:rsidR="0081032C" w:rsidRPr="00697181">
        <w:rPr>
          <w:rFonts w:ascii="Arial" w:hAnsi="Arial"/>
        </w:rPr>
        <w:fldChar w:fldCharType="begin"/>
      </w:r>
      <w:r w:rsidR="0081032C" w:rsidRPr="00697181">
        <w:rPr>
          <w:rFonts w:ascii="Arial" w:hAnsi="Arial"/>
        </w:rPr>
        <w:instrText xml:space="preserve"> REF _Ref45286859 \r \h </w:instrText>
      </w:r>
      <w:r w:rsidR="00697181">
        <w:rPr>
          <w:rFonts w:ascii="Arial" w:hAnsi="Arial"/>
        </w:rPr>
        <w:instrText xml:space="preserve"> \* MERGEFORMAT </w:instrText>
      </w:r>
      <w:r w:rsidR="0081032C" w:rsidRPr="00697181">
        <w:rPr>
          <w:rFonts w:ascii="Arial" w:hAnsi="Arial"/>
        </w:rPr>
      </w:r>
      <w:r w:rsidR="0081032C" w:rsidRPr="00697181">
        <w:rPr>
          <w:rFonts w:ascii="Arial" w:hAnsi="Arial"/>
        </w:rPr>
        <w:fldChar w:fldCharType="separate"/>
      </w:r>
      <w:r w:rsidR="00F46034">
        <w:rPr>
          <w:rFonts w:ascii="Arial" w:hAnsi="Arial"/>
        </w:rPr>
        <w:t>[1]</w:t>
      </w:r>
      <w:r w:rsidR="0081032C" w:rsidRPr="00697181">
        <w:rPr>
          <w:rFonts w:ascii="Arial" w:hAnsi="Arial"/>
        </w:rPr>
        <w:fldChar w:fldCharType="end"/>
      </w:r>
      <w:r w:rsidRPr="00697181">
        <w:rPr>
          <w:rFonts w:ascii="Arial" w:hAnsi="Arial"/>
        </w:rPr>
        <w:t>.</w:t>
      </w:r>
      <w:r w:rsidR="00432D1E">
        <w:rPr>
          <w:rFonts w:ascii="Arial" w:hAnsi="Arial"/>
        </w:rPr>
        <w:t xml:space="preserve"> </w:t>
      </w:r>
      <w:r w:rsidR="00432D1E" w:rsidRPr="00B5516C">
        <w:rPr>
          <w:rFonts w:ascii="Arial" w:hAnsi="Arial"/>
        </w:rPr>
        <w:t>One objective is to specify HARQ enhancements for NTN. In this contribution, we discuss HARQ enhancements for NTN</w:t>
      </w:r>
      <w:r w:rsidR="00432D1E">
        <w:rPr>
          <w:rFonts w:ascii="Arial" w:hAnsi="Arial"/>
        </w:rPr>
        <w:t xml:space="preserve"> per the WID objective:</w:t>
      </w:r>
    </w:p>
    <w:p w14:paraId="1607059B" w14:textId="0F4502C5" w:rsidR="00432D1E" w:rsidRPr="00697181" w:rsidRDefault="00432D1E" w:rsidP="000E5128">
      <w:pPr>
        <w:jc w:val="both"/>
        <w:rPr>
          <w:rFonts w:ascii="Arial" w:hAnsi="Arial"/>
        </w:rPr>
      </w:pPr>
      <w:r w:rsidRPr="00801E22">
        <w:rPr>
          <w:noProof/>
          <w:sz w:val="20"/>
          <w:szCs w:val="20"/>
        </w:rPr>
        <mc:AlternateContent>
          <mc:Choice Requires="wps">
            <w:drawing>
              <wp:inline distT="0" distB="0" distL="0" distR="0" wp14:anchorId="65880818" wp14:editId="34B6511C">
                <wp:extent cx="6120765" cy="9525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52500"/>
                        </a:xfrm>
                        <a:prstGeom prst="rect">
                          <a:avLst/>
                        </a:prstGeom>
                        <a:solidFill>
                          <a:schemeClr val="lt1">
                            <a:lumMod val="100000"/>
                            <a:lumOff val="0"/>
                          </a:schemeClr>
                        </a:solidFill>
                        <a:ln w="6350">
                          <a:solidFill>
                            <a:srgbClr val="000000"/>
                          </a:solidFill>
                          <a:miter lim="800000"/>
                          <a:headEnd/>
                          <a:tailEnd/>
                        </a:ln>
                      </wps:spPr>
                      <wps:txbx>
                        <w:txbxContent>
                          <w:p w14:paraId="0A99ECC4" w14:textId="77777777" w:rsidR="00F46CA9" w:rsidRPr="00432D1E" w:rsidRDefault="00F46CA9" w:rsidP="00432D1E">
                            <w:pPr>
                              <w:numPr>
                                <w:ilvl w:val="0"/>
                                <w:numId w:val="45"/>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432D1E">
                              <w:rPr>
                                <w:rFonts w:ascii="Times New Roman" w:hAnsi="Times New Roman" w:cs="Times New Roman"/>
                              </w:rPr>
                              <w:t>HARQ</w:t>
                            </w:r>
                          </w:p>
                          <w:p w14:paraId="4E1CE3A9" w14:textId="77777777" w:rsidR="00F46CA9" w:rsidRPr="00432D1E" w:rsidRDefault="00F46CA9" w:rsidP="00432D1E">
                            <w:pPr>
                              <w:numPr>
                                <w:ilvl w:val="1"/>
                                <w:numId w:val="4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Number of HARQ process [RAN1]</w:t>
                            </w:r>
                          </w:p>
                          <w:p w14:paraId="455696AC" w14:textId="77777777" w:rsidR="00F46CA9" w:rsidRPr="00432D1E" w:rsidRDefault="00F46CA9" w:rsidP="00432D1E">
                            <w:pPr>
                              <w:numPr>
                                <w:ilvl w:val="1"/>
                                <w:numId w:val="4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Enabling / disabling of HARQ feedback as described in the TR 38.821 [RAN1&amp;2]</w:t>
                            </w:r>
                          </w:p>
                          <w:p w14:paraId="4B72E367" w14:textId="77777777" w:rsidR="00F46CA9" w:rsidRDefault="00F46CA9" w:rsidP="00432D1E">
                            <w:pPr>
                              <w:rPr>
                                <w:rFonts w:ascii="Times New Roman" w:hAnsi="Times New Roman" w:cs="Times New Roman"/>
                                <w:sz w:val="18"/>
                                <w:szCs w:val="18"/>
                              </w:rPr>
                            </w:pPr>
                          </w:p>
                          <w:p w14:paraId="118AD624" w14:textId="77777777" w:rsidR="00F46CA9" w:rsidRPr="00EE564D" w:rsidRDefault="00F46CA9" w:rsidP="00432D1E">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65880818" id="_x0000_t202" coordsize="21600,21600" o:spt="202" path="m,l,21600r21600,l21600,xe">
                <v:stroke joinstyle="miter"/>
                <v:path gradientshapeok="t" o:connecttype="rect"/>
              </v:shapetype>
              <v:shape id="Text Box 2" o:spid="_x0000_s1026" type="#_x0000_t202" style="width:481.9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" fillcolor="white [3201]" strokeweight=".5pt">
                <v:textbox>
                  <w:txbxContent>
                    <w:p w14:paraId="0A99ECC4" w14:textId="77777777" w:rsidR="00F46CA9" w:rsidRPr="00432D1E" w:rsidRDefault="00F46CA9" w:rsidP="00432D1E">
                      <w:pPr>
                        <w:numPr>
                          <w:ilvl w:val="0"/>
                          <w:numId w:val="45"/>
                        </w:numPr>
                        <w:overflowPunct w:val="0"/>
                        <w:autoSpaceDE w:val="0"/>
                        <w:autoSpaceDN w:val="0"/>
                        <w:adjustRightInd w:val="0"/>
                        <w:spacing w:before="100" w:beforeAutospacing="1" w:after="100" w:afterAutospacing="1" w:line="240" w:lineRule="auto"/>
                        <w:rPr>
                          <w:rFonts w:ascii="Times New Roman" w:eastAsia="Times New Roman" w:hAnsi="Times New Roman" w:cs="Times New Roman"/>
                          <w:sz w:val="20"/>
                          <w:szCs w:val="20"/>
                        </w:rPr>
                      </w:pPr>
                      <w:r w:rsidRPr="00432D1E">
                        <w:rPr>
                          <w:rFonts w:ascii="Times New Roman" w:hAnsi="Times New Roman" w:cs="Times New Roman"/>
                        </w:rPr>
                        <w:t>HARQ</w:t>
                      </w:r>
                    </w:p>
                    <w:p w14:paraId="4E1CE3A9" w14:textId="77777777" w:rsidR="00F46CA9" w:rsidRPr="00432D1E" w:rsidRDefault="00F46CA9" w:rsidP="00432D1E">
                      <w:pPr>
                        <w:numPr>
                          <w:ilvl w:val="1"/>
                          <w:numId w:val="4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Number of HARQ process [RAN1]</w:t>
                      </w:r>
                    </w:p>
                    <w:p w14:paraId="455696AC" w14:textId="77777777" w:rsidR="00F46CA9" w:rsidRPr="00432D1E" w:rsidRDefault="00F46CA9" w:rsidP="00432D1E">
                      <w:pPr>
                        <w:numPr>
                          <w:ilvl w:val="1"/>
                          <w:numId w:val="45"/>
                        </w:numPr>
                        <w:overflowPunct w:val="0"/>
                        <w:autoSpaceDE w:val="0"/>
                        <w:autoSpaceDN w:val="0"/>
                        <w:adjustRightInd w:val="0"/>
                        <w:spacing w:before="100" w:beforeAutospacing="1" w:after="100" w:afterAutospacing="1" w:line="240" w:lineRule="auto"/>
                        <w:rPr>
                          <w:rFonts w:ascii="Times New Roman" w:hAnsi="Times New Roman" w:cs="Times New Roman"/>
                        </w:rPr>
                      </w:pPr>
                      <w:r w:rsidRPr="00432D1E">
                        <w:rPr>
                          <w:rFonts w:ascii="Times New Roman" w:hAnsi="Times New Roman" w:cs="Times New Roman"/>
                        </w:rPr>
                        <w:t>Enabling / disabling of HARQ feedback as described in the TR 38.821 [RAN1&amp;2]</w:t>
                      </w:r>
                    </w:p>
                    <w:p w14:paraId="4B72E367" w14:textId="77777777" w:rsidR="00F46CA9" w:rsidRDefault="00F46CA9" w:rsidP="00432D1E">
                      <w:pPr>
                        <w:rPr>
                          <w:rFonts w:ascii="Times New Roman" w:hAnsi="Times New Roman" w:cs="Times New Roman"/>
                          <w:sz w:val="18"/>
                          <w:szCs w:val="18"/>
                        </w:rPr>
                      </w:pPr>
                    </w:p>
                    <w:p w14:paraId="118AD624" w14:textId="77777777" w:rsidR="00F46CA9" w:rsidRPr="00EE564D" w:rsidRDefault="00F46CA9" w:rsidP="00432D1E">
                      <w:pPr>
                        <w:jc w:val="both"/>
                        <w:rPr>
                          <w:rFonts w:ascii="Arial" w:hAnsi="Arial"/>
                          <w:lang w:eastAsia="ja-JP"/>
                        </w:rPr>
                      </w:pPr>
                    </w:p>
                  </w:txbxContent>
                </v:textbox>
                <w10:anchorlock/>
              </v:shape>
            </w:pict>
          </mc:Fallback>
        </mc:AlternateContent>
      </w:r>
    </w:p>
    <w:p w14:paraId="35414B24" w14:textId="7F20279F" w:rsidR="007434CD" w:rsidRDefault="007434CD" w:rsidP="007434CD">
      <w:pPr>
        <w:pStyle w:val="Heading1"/>
      </w:pPr>
      <w:r>
        <w:t>2</w:t>
      </w:r>
      <w:r>
        <w:tab/>
      </w:r>
      <w:r w:rsidR="00432D1E" w:rsidRPr="00432D1E">
        <w:t>Configuration for enabled</w:t>
      </w:r>
      <w:r w:rsidR="00432D1E">
        <w:t xml:space="preserve"> </w:t>
      </w:r>
      <w:r w:rsidR="00432D1E" w:rsidRPr="00432D1E">
        <w:t>/</w:t>
      </w:r>
      <w:r w:rsidR="00432D1E">
        <w:t xml:space="preserve"> </w:t>
      </w:r>
      <w:r w:rsidR="00432D1E" w:rsidRPr="00432D1E">
        <w:t>disabled HARQ</w:t>
      </w:r>
    </w:p>
    <w:p w14:paraId="3C0849F5" w14:textId="1253A86D" w:rsidR="00432D1E" w:rsidRPr="00276E3E" w:rsidRDefault="00432D1E" w:rsidP="00432D1E">
      <w:pPr>
        <w:jc w:val="both"/>
        <w:rPr>
          <w:rFonts w:ascii="Arial" w:hAnsi="Arial"/>
        </w:rPr>
      </w:pPr>
      <w:r>
        <w:rPr>
          <w:rFonts w:ascii="Arial" w:hAnsi="Arial"/>
        </w:rPr>
        <w:t xml:space="preserve">TR 38.821 </w:t>
      </w:r>
      <w:r>
        <w:rPr>
          <w:rFonts w:ascii="Arial" w:hAnsi="Arial"/>
        </w:rPr>
        <w:fldChar w:fldCharType="begin"/>
      </w:r>
      <w:r>
        <w:rPr>
          <w:rFonts w:ascii="Arial" w:hAnsi="Arial"/>
        </w:rPr>
        <w:instrText xml:space="preserve"> REF _Ref46459196 \r \h </w:instrText>
      </w:r>
      <w:r>
        <w:rPr>
          <w:rFonts w:ascii="Arial" w:hAnsi="Arial"/>
        </w:rPr>
      </w:r>
      <w:r>
        <w:rPr>
          <w:rFonts w:ascii="Arial" w:hAnsi="Arial"/>
        </w:rPr>
        <w:fldChar w:fldCharType="separate"/>
      </w:r>
      <w:r w:rsidR="00F46034">
        <w:rPr>
          <w:rFonts w:ascii="Arial" w:hAnsi="Arial"/>
        </w:rPr>
        <w:t>[2]</w:t>
      </w:r>
      <w:r>
        <w:rPr>
          <w:rFonts w:ascii="Arial" w:hAnsi="Arial"/>
        </w:rPr>
        <w:fldChar w:fldCharType="end"/>
      </w:r>
      <w:r>
        <w:rPr>
          <w:rFonts w:ascii="Arial" w:hAnsi="Arial"/>
        </w:rPr>
        <w:t xml:space="preserve"> </w:t>
      </w:r>
      <w:r w:rsidRPr="008A5A04">
        <w:rPr>
          <w:rFonts w:ascii="Arial" w:hAnsi="Arial"/>
        </w:rPr>
        <w:t>stat</w:t>
      </w:r>
      <w:r>
        <w:rPr>
          <w:rFonts w:ascii="Arial" w:hAnsi="Arial"/>
        </w:rPr>
        <w:t>es</w:t>
      </w:r>
      <w:r w:rsidRPr="008A5A04">
        <w:rPr>
          <w:rFonts w:ascii="Arial" w:hAnsi="Arial"/>
        </w:rPr>
        <w:t xml:space="preserve"> </w:t>
      </w:r>
      <w:r w:rsidRPr="00276E3E">
        <w:rPr>
          <w:rFonts w:ascii="Arial" w:hAnsi="Arial"/>
        </w:rPr>
        <w:t xml:space="preserve">that </w:t>
      </w:r>
      <w:r>
        <w:rPr>
          <w:rFonts w:ascii="Arial" w:hAnsi="Arial"/>
        </w:rPr>
        <w:t>t</w:t>
      </w:r>
      <w:r w:rsidRPr="00276E3E">
        <w:rPr>
          <w:rFonts w:ascii="Arial" w:hAnsi="Arial"/>
        </w:rPr>
        <w:t>he enabling</w:t>
      </w:r>
      <w:r>
        <w:rPr>
          <w:rFonts w:ascii="Arial" w:hAnsi="Arial"/>
        </w:rPr>
        <w:t xml:space="preserve"> </w:t>
      </w:r>
      <w:r w:rsidRPr="00276E3E">
        <w:rPr>
          <w:rFonts w:ascii="Arial" w:hAnsi="Arial"/>
        </w:rPr>
        <w:t>/</w:t>
      </w:r>
      <w:r>
        <w:rPr>
          <w:rFonts w:ascii="Arial" w:hAnsi="Arial"/>
        </w:rPr>
        <w:t xml:space="preserve"> </w:t>
      </w:r>
      <w:r w:rsidRPr="00276E3E">
        <w:rPr>
          <w:rFonts w:ascii="Arial" w:hAnsi="Arial"/>
        </w:rPr>
        <w:t>disabling of HARQ feedback should be configurable on a per UE</w:t>
      </w:r>
      <w:r>
        <w:rPr>
          <w:rFonts w:ascii="Arial" w:hAnsi="Arial"/>
        </w:rPr>
        <w:t xml:space="preserve">, </w:t>
      </w:r>
      <w:r w:rsidRPr="00276E3E">
        <w:rPr>
          <w:rFonts w:ascii="Arial" w:hAnsi="Arial"/>
        </w:rPr>
        <w:t xml:space="preserve">per HARQ process </w:t>
      </w:r>
      <w:r>
        <w:rPr>
          <w:rFonts w:ascii="Arial" w:hAnsi="Arial"/>
        </w:rPr>
        <w:t xml:space="preserve">and (for UL) per LCH </w:t>
      </w:r>
      <w:r w:rsidRPr="00276E3E">
        <w:rPr>
          <w:rFonts w:ascii="Arial" w:hAnsi="Arial"/>
        </w:rPr>
        <w:t>basis</w:t>
      </w:r>
      <w:r>
        <w:rPr>
          <w:rFonts w:ascii="Arial" w:hAnsi="Arial"/>
        </w:rPr>
        <w:t>.</w:t>
      </w:r>
    </w:p>
    <w:p w14:paraId="250A1D90" w14:textId="7EAE784E" w:rsidR="00432D1E" w:rsidRPr="008A5A04" w:rsidRDefault="00432D1E" w:rsidP="00432D1E">
      <w:pPr>
        <w:jc w:val="both"/>
        <w:rPr>
          <w:rFonts w:ascii="Arial" w:eastAsia="Calibri" w:hAnsi="Arial" w:cs="Arial"/>
        </w:rPr>
      </w:pPr>
      <w:r w:rsidRPr="008A5A04">
        <w:rPr>
          <w:rFonts w:ascii="Arial" w:hAnsi="Arial" w:cs="Arial"/>
        </w:rPr>
        <w:t xml:space="preserve">HARQ is a basic functionality in NR. Many physical layer functionalities depend on the use of HARQ. If the HARQ would be completely turned off, there would be significant RAN1 specification impact. For example, the MAC CE activation/deactivation of a certain feature becomes effective 3 </w:t>
      </w:r>
      <w:proofErr w:type="spellStart"/>
      <w:r w:rsidRPr="008A5A04">
        <w:rPr>
          <w:rFonts w:ascii="Arial" w:hAnsi="Arial" w:cs="Arial"/>
        </w:rPr>
        <w:t>msec</w:t>
      </w:r>
      <w:proofErr w:type="spellEnd"/>
      <w:r w:rsidRPr="008A5A04">
        <w:rPr>
          <w:rFonts w:ascii="Arial" w:hAnsi="Arial" w:cs="Arial"/>
        </w:rPr>
        <w:t xml:space="preserve"> after the UE transmits HARQ-ACK corresponding to the PDSCH carrying the MAC CE command. The MAC CE activation/deactivation timing relationships (in many places of RAN1 specifications) would become undefined if HARQ would be completely turned off. </w:t>
      </w:r>
    </w:p>
    <w:p w14:paraId="101CE3D3" w14:textId="1A786EA5" w:rsidR="00432D1E" w:rsidRPr="008A5A04" w:rsidRDefault="00432D1E" w:rsidP="00432D1E">
      <w:pPr>
        <w:jc w:val="both"/>
        <w:rPr>
          <w:rFonts w:ascii="Arial" w:eastAsia="Calibri" w:hAnsi="Arial" w:cs="Arial"/>
        </w:rPr>
      </w:pPr>
      <w:r w:rsidRPr="00577053">
        <w:rPr>
          <w:rFonts w:ascii="Arial" w:hAnsi="Arial" w:cs="Arial"/>
        </w:rPr>
        <w:t xml:space="preserve">To avoid the unnecessarily large RAN1 specification impact, at least one HARQ process </w:t>
      </w:r>
      <w:r>
        <w:rPr>
          <w:rFonts w:ascii="Arial" w:hAnsi="Arial" w:cs="Arial"/>
        </w:rPr>
        <w:t>should be</w:t>
      </w:r>
      <w:r w:rsidRPr="00577053">
        <w:rPr>
          <w:rFonts w:ascii="Arial" w:hAnsi="Arial" w:cs="Arial"/>
        </w:rPr>
        <w:t xml:space="preserve"> configured with UL HARQ feedback when HARQ is disabled. </w:t>
      </w:r>
      <w:r w:rsidRPr="008A5A04">
        <w:rPr>
          <w:rFonts w:ascii="Arial" w:hAnsi="Arial" w:cs="Arial"/>
        </w:rPr>
        <w:t xml:space="preserve">This would solve the unnecessary complications resulted from completely turning off HARQ. </w:t>
      </w:r>
    </w:p>
    <w:p w14:paraId="3F5CC635" w14:textId="567B0D34" w:rsidR="00432D1E" w:rsidRPr="008A5A04" w:rsidRDefault="00432D1E" w:rsidP="00432D1E">
      <w:pPr>
        <w:pStyle w:val="Proposal"/>
      </w:pPr>
      <w:bookmarkStart w:id="1" w:name="_Toc23257408"/>
      <w:bookmarkStart w:id="2" w:name="_Toc31805895"/>
      <w:bookmarkStart w:id="3" w:name="_Toc47672433"/>
      <w:r>
        <w:t xml:space="preserve">UE expects that </w:t>
      </w:r>
      <w:r w:rsidRPr="008A5A04">
        <w:t>at least one HARQ process is configured with UL HARQ feedback.</w:t>
      </w:r>
      <w:bookmarkEnd w:id="1"/>
      <w:bookmarkEnd w:id="2"/>
      <w:bookmarkEnd w:id="3"/>
    </w:p>
    <w:p w14:paraId="652CADB4" w14:textId="40FF6AB7" w:rsidR="00432D1E" w:rsidRPr="00861314" w:rsidRDefault="00432D1E" w:rsidP="00432D1E">
      <w:pPr>
        <w:jc w:val="both"/>
        <w:rPr>
          <w:rStyle w:val="IvDbodytextChar"/>
          <w:b/>
          <w:bCs/>
          <w:spacing w:val="0"/>
          <w:lang w:eastAsia="zh-CN"/>
        </w:rPr>
      </w:pPr>
      <w:r w:rsidRPr="008A5A04">
        <w:rPr>
          <w:rFonts w:ascii="Arial" w:hAnsi="Arial"/>
        </w:rPr>
        <w:t>Given that enabling / disabling of HARQ feedback should be configurable per HARQ process,</w:t>
      </w:r>
      <w:r w:rsidR="00283D8E">
        <w:rPr>
          <w:rFonts w:ascii="Arial" w:hAnsi="Arial"/>
        </w:rPr>
        <w:t xml:space="preserve"> it is pointed out in</w:t>
      </w:r>
      <w:r w:rsidRPr="008A5A04">
        <w:rPr>
          <w:rFonts w:ascii="Arial" w:hAnsi="Arial"/>
        </w:rPr>
        <w:t xml:space="preserve"> </w:t>
      </w:r>
      <w:r w:rsidR="00283D8E">
        <w:rPr>
          <w:rFonts w:ascii="Arial" w:hAnsi="Arial"/>
        </w:rPr>
        <w:t xml:space="preserve">Section 7.2.1.4 in </w:t>
      </w:r>
      <w:r>
        <w:rPr>
          <w:rFonts w:ascii="Arial" w:hAnsi="Arial"/>
        </w:rPr>
        <w:t xml:space="preserve">TR </w:t>
      </w:r>
      <w:r w:rsidRPr="006850F6">
        <w:rPr>
          <w:rFonts w:ascii="Arial" w:hAnsi="Arial"/>
        </w:rPr>
        <w:t>38.821</w:t>
      </w:r>
      <w:r w:rsidR="00283D8E">
        <w:rPr>
          <w:rFonts w:ascii="Arial" w:hAnsi="Arial"/>
        </w:rPr>
        <w:t xml:space="preserve"> </w:t>
      </w:r>
      <w:r w:rsidR="00283D8E">
        <w:rPr>
          <w:rFonts w:ascii="Arial" w:hAnsi="Arial"/>
        </w:rPr>
        <w:fldChar w:fldCharType="begin"/>
      </w:r>
      <w:r w:rsidR="00283D8E">
        <w:rPr>
          <w:rFonts w:ascii="Arial" w:hAnsi="Arial"/>
        </w:rPr>
        <w:instrText xml:space="preserve"> REF _Ref46459196 \r \h </w:instrText>
      </w:r>
      <w:r w:rsidR="00283D8E">
        <w:rPr>
          <w:rFonts w:ascii="Arial" w:hAnsi="Arial"/>
        </w:rPr>
      </w:r>
      <w:r w:rsidR="00283D8E">
        <w:rPr>
          <w:rFonts w:ascii="Arial" w:hAnsi="Arial"/>
        </w:rPr>
        <w:fldChar w:fldCharType="separate"/>
      </w:r>
      <w:r w:rsidR="00F46034">
        <w:rPr>
          <w:rFonts w:ascii="Arial" w:hAnsi="Arial"/>
        </w:rPr>
        <w:t>[2]</w:t>
      </w:r>
      <w:r w:rsidR="00283D8E">
        <w:rPr>
          <w:rFonts w:ascii="Arial" w:hAnsi="Arial"/>
        </w:rPr>
        <w:fldChar w:fldCharType="end"/>
      </w:r>
      <w:r>
        <w:rPr>
          <w:rFonts w:ascii="Arial" w:hAnsi="Arial"/>
        </w:rPr>
        <w:t xml:space="preserve"> that</w:t>
      </w:r>
      <w:r w:rsidRPr="006850F6">
        <w:rPr>
          <w:rFonts w:ascii="Arial" w:hAnsi="Arial"/>
        </w:rPr>
        <w:t xml:space="preserve"> </w:t>
      </w:r>
      <w:r w:rsidR="00283D8E">
        <w:rPr>
          <w:rFonts w:ascii="Arial" w:hAnsi="Arial"/>
        </w:rPr>
        <w:t>“</w:t>
      </w:r>
      <w:r w:rsidRPr="00B5516C">
        <w:rPr>
          <w:rFonts w:ascii="Arial" w:hAnsi="Arial"/>
          <w:i/>
          <w:iCs/>
        </w:rPr>
        <w:t>If the feedback is disabled for a selective number (i.e. not all) of HARQ processes, the configuration parameters for different HARQ processes may need to be different.</w:t>
      </w:r>
      <w:r w:rsidRPr="006850F6">
        <w:rPr>
          <w:rFonts w:ascii="Arial" w:hAnsi="Arial"/>
        </w:rPr>
        <w:t>”</w:t>
      </w:r>
      <w:r>
        <w:rPr>
          <w:rFonts w:ascii="Arial" w:hAnsi="Arial"/>
        </w:rPr>
        <w:t xml:space="preserve"> It is then </w:t>
      </w:r>
      <w:r w:rsidRPr="008A5A04">
        <w:rPr>
          <w:rFonts w:ascii="Arial" w:hAnsi="Arial"/>
        </w:rPr>
        <w:t xml:space="preserve">necessary to discuss </w:t>
      </w:r>
      <w:r w:rsidRPr="00B5516C">
        <w:rPr>
          <w:rFonts w:ascii="Arial" w:hAnsi="Arial" w:cs="Arial"/>
        </w:rPr>
        <w:t>what parameters need to be configured differently</w:t>
      </w:r>
      <w:r>
        <w:rPr>
          <w:rStyle w:val="IvDbodytextChar"/>
          <w:rFonts w:cs="Arial"/>
        </w:rPr>
        <w:t xml:space="preserve"> such as the following:</w:t>
      </w:r>
    </w:p>
    <w:p w14:paraId="7E10B30B" w14:textId="77777777" w:rsidR="00432D1E" w:rsidRDefault="00432D1E" w:rsidP="00432D1E">
      <w:pPr>
        <w:pStyle w:val="BodyText"/>
        <w:numPr>
          <w:ilvl w:val="0"/>
          <w:numId w:val="44"/>
        </w:numPr>
        <w:tabs>
          <w:tab w:val="left" w:pos="2552"/>
          <w:tab w:val="left" w:pos="3856"/>
          <w:tab w:val="left" w:pos="5216"/>
          <w:tab w:val="left" w:pos="6464"/>
          <w:tab w:val="left" w:pos="7768"/>
          <w:tab w:val="left" w:pos="9072"/>
          <w:tab w:val="left" w:pos="9639"/>
        </w:tabs>
        <w:spacing w:before="240" w:after="0" w:line="240" w:lineRule="auto"/>
        <w:rPr>
          <w:rStyle w:val="IvDbodytextChar"/>
          <w:rFonts w:cs="Times New Roman"/>
        </w:rPr>
      </w:pPr>
      <w:r>
        <w:rPr>
          <w:rStyle w:val="IvDbodytextChar"/>
          <w:rFonts w:cs="Times New Roman"/>
        </w:rPr>
        <w:lastRenderedPageBreak/>
        <w:t>Aggregation factor</w:t>
      </w:r>
    </w:p>
    <w:p w14:paraId="61B1B956" w14:textId="77777777" w:rsidR="00432D1E" w:rsidRDefault="00432D1E" w:rsidP="00432D1E">
      <w:pPr>
        <w:pStyle w:val="BodyText"/>
        <w:numPr>
          <w:ilvl w:val="0"/>
          <w:numId w:val="44"/>
        </w:numPr>
        <w:tabs>
          <w:tab w:val="left" w:pos="2552"/>
          <w:tab w:val="left" w:pos="3856"/>
          <w:tab w:val="left" w:pos="5216"/>
          <w:tab w:val="left" w:pos="6464"/>
          <w:tab w:val="left" w:pos="7768"/>
          <w:tab w:val="left" w:pos="9072"/>
          <w:tab w:val="left" w:pos="9639"/>
        </w:tabs>
        <w:spacing w:before="240" w:after="0" w:line="240" w:lineRule="auto"/>
        <w:rPr>
          <w:rStyle w:val="IvDbodytextChar"/>
          <w:rFonts w:cs="Times New Roman"/>
        </w:rPr>
      </w:pPr>
      <w:r>
        <w:rPr>
          <w:rStyle w:val="IvDbodytextChar"/>
          <w:rFonts w:cs="Times New Roman"/>
        </w:rPr>
        <w:t>MCS table</w:t>
      </w:r>
    </w:p>
    <w:p w14:paraId="7A1FFA52" w14:textId="77777777" w:rsidR="00432D1E" w:rsidRDefault="00432D1E" w:rsidP="00432D1E">
      <w:pPr>
        <w:pStyle w:val="BodyText"/>
        <w:numPr>
          <w:ilvl w:val="0"/>
          <w:numId w:val="44"/>
        </w:numPr>
        <w:tabs>
          <w:tab w:val="left" w:pos="2552"/>
          <w:tab w:val="left" w:pos="3856"/>
          <w:tab w:val="left" w:pos="5216"/>
          <w:tab w:val="left" w:pos="6464"/>
          <w:tab w:val="left" w:pos="7768"/>
          <w:tab w:val="left" w:pos="9072"/>
          <w:tab w:val="left" w:pos="9639"/>
        </w:tabs>
        <w:spacing w:before="240" w:after="0" w:line="240" w:lineRule="auto"/>
        <w:rPr>
          <w:rStyle w:val="IvDbodytextChar"/>
          <w:rFonts w:cs="Times New Roman"/>
        </w:rPr>
      </w:pPr>
      <w:r>
        <w:rPr>
          <w:rStyle w:val="IvDbodytextChar"/>
          <w:rFonts w:cs="Times New Roman"/>
        </w:rPr>
        <w:t>Time domain resource allocation table</w:t>
      </w:r>
    </w:p>
    <w:p w14:paraId="37D31313" w14:textId="77777777" w:rsidR="00432D1E" w:rsidRDefault="00432D1E" w:rsidP="00432D1E">
      <w:pPr>
        <w:pStyle w:val="BodyText"/>
        <w:numPr>
          <w:ilvl w:val="0"/>
          <w:numId w:val="44"/>
        </w:numPr>
        <w:tabs>
          <w:tab w:val="left" w:pos="2552"/>
          <w:tab w:val="left" w:pos="3856"/>
          <w:tab w:val="left" w:pos="5216"/>
          <w:tab w:val="left" w:pos="6464"/>
          <w:tab w:val="left" w:pos="7768"/>
          <w:tab w:val="left" w:pos="9072"/>
          <w:tab w:val="left" w:pos="9639"/>
        </w:tabs>
        <w:spacing w:before="240" w:after="0" w:line="240" w:lineRule="auto"/>
        <w:rPr>
          <w:rStyle w:val="IvDbodytextChar"/>
          <w:rFonts w:cs="Times New Roman"/>
        </w:rPr>
      </w:pPr>
      <w:r>
        <w:rPr>
          <w:rStyle w:val="IvDbodytextChar"/>
          <w:rFonts w:cs="Times New Roman"/>
        </w:rPr>
        <w:t>Frequency resource allocation type 0 and type 1</w:t>
      </w:r>
    </w:p>
    <w:p w14:paraId="378FA056" w14:textId="77777777" w:rsidR="00432D1E" w:rsidRDefault="00432D1E" w:rsidP="00432D1E">
      <w:pPr>
        <w:pStyle w:val="BodyText"/>
        <w:numPr>
          <w:ilvl w:val="0"/>
          <w:numId w:val="44"/>
        </w:numPr>
        <w:tabs>
          <w:tab w:val="left" w:pos="2552"/>
          <w:tab w:val="left" w:pos="3856"/>
          <w:tab w:val="left" w:pos="5216"/>
          <w:tab w:val="left" w:pos="6464"/>
          <w:tab w:val="left" w:pos="7768"/>
          <w:tab w:val="left" w:pos="9072"/>
          <w:tab w:val="left" w:pos="9639"/>
        </w:tabs>
        <w:spacing w:before="240" w:after="0" w:line="240" w:lineRule="auto"/>
        <w:rPr>
          <w:rStyle w:val="IvDbodytextChar"/>
          <w:rFonts w:cs="Times New Roman"/>
        </w:rPr>
      </w:pPr>
      <w:r>
        <w:rPr>
          <w:rStyle w:val="IvDbodytextChar"/>
          <w:rFonts w:cs="Times New Roman"/>
        </w:rPr>
        <w:t>Block error rate target</w:t>
      </w:r>
    </w:p>
    <w:p w14:paraId="1C06D451" w14:textId="77777777" w:rsidR="00432D1E" w:rsidRDefault="00432D1E" w:rsidP="00432D1E">
      <w:pPr>
        <w:pStyle w:val="BodyText"/>
        <w:numPr>
          <w:ilvl w:val="0"/>
          <w:numId w:val="44"/>
        </w:numPr>
        <w:tabs>
          <w:tab w:val="left" w:pos="2552"/>
          <w:tab w:val="left" w:pos="3856"/>
          <w:tab w:val="left" w:pos="5216"/>
          <w:tab w:val="left" w:pos="6464"/>
          <w:tab w:val="left" w:pos="7768"/>
          <w:tab w:val="left" w:pos="9072"/>
          <w:tab w:val="left" w:pos="9639"/>
        </w:tabs>
        <w:spacing w:before="240" w:after="0" w:line="240" w:lineRule="auto"/>
        <w:rPr>
          <w:rStyle w:val="IvDbodytextChar"/>
          <w:rFonts w:cs="Times New Roman"/>
        </w:rPr>
      </w:pPr>
      <w:r>
        <w:rPr>
          <w:rStyle w:val="IvDbodytextChar"/>
          <w:rFonts w:cs="Times New Roman"/>
        </w:rPr>
        <w:t>Physical resource block (PRB) bundling configuration</w:t>
      </w:r>
    </w:p>
    <w:p w14:paraId="4D0BEF6E" w14:textId="77777777" w:rsidR="00432D1E" w:rsidRDefault="00432D1E" w:rsidP="00432D1E">
      <w:pPr>
        <w:pStyle w:val="BodyText"/>
        <w:numPr>
          <w:ilvl w:val="0"/>
          <w:numId w:val="44"/>
        </w:numPr>
        <w:tabs>
          <w:tab w:val="left" w:pos="2552"/>
          <w:tab w:val="left" w:pos="3856"/>
          <w:tab w:val="left" w:pos="5216"/>
          <w:tab w:val="left" w:pos="6464"/>
          <w:tab w:val="left" w:pos="7768"/>
          <w:tab w:val="left" w:pos="9072"/>
          <w:tab w:val="left" w:pos="9639"/>
        </w:tabs>
        <w:spacing w:before="240" w:after="0" w:line="240" w:lineRule="auto"/>
        <w:rPr>
          <w:rStyle w:val="IvDbodytextChar"/>
          <w:rFonts w:cs="Times New Roman"/>
        </w:rPr>
      </w:pPr>
      <w:r>
        <w:rPr>
          <w:rStyle w:val="IvDbodytextChar"/>
          <w:rFonts w:cs="Times New Roman"/>
        </w:rPr>
        <w:t>PDSCH mapping type A and type B</w:t>
      </w:r>
    </w:p>
    <w:p w14:paraId="5DED3E27" w14:textId="77777777" w:rsidR="00432D1E" w:rsidRDefault="00432D1E" w:rsidP="00432D1E">
      <w:pPr>
        <w:jc w:val="both"/>
        <w:rPr>
          <w:rFonts w:ascii="Arial" w:hAnsi="Arial"/>
        </w:rPr>
      </w:pPr>
    </w:p>
    <w:p w14:paraId="13AA0E43" w14:textId="7D662A67" w:rsidR="00432D1E" w:rsidRPr="00432D1E" w:rsidRDefault="00432D1E" w:rsidP="00432D1E">
      <w:pPr>
        <w:pStyle w:val="Proposal"/>
      </w:pPr>
      <w:bookmarkStart w:id="4" w:name="_Toc47672434"/>
      <w:r w:rsidRPr="008A5A04">
        <w:t xml:space="preserve">RAN1 to </w:t>
      </w:r>
      <w:r>
        <w:t xml:space="preserve">discuss </w:t>
      </w:r>
      <w:r w:rsidRPr="001D5BAF">
        <w:rPr>
          <w:rFonts w:cs="Arial"/>
        </w:rPr>
        <w:t>what parameters need to be configured differently</w:t>
      </w:r>
      <w:r>
        <w:rPr>
          <w:rFonts w:cs="Arial"/>
        </w:rPr>
        <w:t xml:space="preserve"> for HARQ processes with feedback and HARQ processes without feedback.</w:t>
      </w:r>
      <w:bookmarkEnd w:id="4"/>
    </w:p>
    <w:p w14:paraId="75EA1AE0" w14:textId="1E019389" w:rsidR="00283D8E" w:rsidRDefault="00283D8E" w:rsidP="00283D8E">
      <w:pPr>
        <w:pStyle w:val="Heading1"/>
      </w:pPr>
      <w:r>
        <w:t>3</w:t>
      </w:r>
      <w:r>
        <w:tab/>
        <w:t>HARQ codebooks for enabled/disabled HARQ</w:t>
      </w:r>
    </w:p>
    <w:p w14:paraId="09E0B6C5" w14:textId="77777777" w:rsidR="0084577D" w:rsidRDefault="00283D8E" w:rsidP="00283D8E">
      <w:pPr>
        <w:pStyle w:val="BodyText"/>
      </w:pPr>
      <w:r w:rsidRPr="005F0C00">
        <w:t>With the UE being configured with both feedback disabled HARQ processes and feedback enabled HARQ processes, UE procedures on how to determine the entries in the NR Type-1 and Type-2 HARQ codebooks need to be defined.  For instance, a UE may receive PDSCHs associated with either a feedback disabled HARQ process or a feedback enabled HARQ process.</w:t>
      </w:r>
      <w:r w:rsidR="00486076">
        <w:t xml:space="preserve"> </w:t>
      </w:r>
    </w:p>
    <w:p w14:paraId="5842B6DC" w14:textId="695B6E53" w:rsidR="0084577D" w:rsidRPr="004E4AD0" w:rsidRDefault="00486076" w:rsidP="0084577D">
      <w:pPr>
        <w:pStyle w:val="BodyText"/>
      </w:pPr>
      <w:r w:rsidRPr="004E4AD0">
        <w:t>Additionally, Type-3 HARQ codebook is introduced in Rel-16, motivated by NR operation in unlicensed spectrum that often requires listen</w:t>
      </w:r>
      <w:r w:rsidR="00D35BE2" w:rsidRPr="004E4AD0">
        <w:t>-</w:t>
      </w:r>
      <w:r w:rsidRPr="004E4AD0">
        <w:t>before</w:t>
      </w:r>
      <w:r w:rsidR="00D35BE2" w:rsidRPr="004E4AD0">
        <w:t>-</w:t>
      </w:r>
      <w:r w:rsidRPr="004E4AD0">
        <w:t>talk (LBT)</w:t>
      </w:r>
      <w:r w:rsidR="00D35BE2" w:rsidRPr="004E4AD0">
        <w:t xml:space="preserve"> to assess the availability of the carrier since the carrier may be shared with other networks and may not be available at any given time</w:t>
      </w:r>
      <w:r w:rsidRPr="004E4AD0">
        <w:t xml:space="preserve">. </w:t>
      </w:r>
      <w:r w:rsidR="00582567" w:rsidRPr="004E4AD0">
        <w:t xml:space="preserve">While </w:t>
      </w:r>
      <w:r w:rsidR="0084577D" w:rsidRPr="004E4AD0">
        <w:t>NTN uses licensed spectrum</w:t>
      </w:r>
      <w:r w:rsidR="00582567" w:rsidRPr="004E4AD0">
        <w:t>, the Type-3 HARQ codebook can be used</w:t>
      </w:r>
      <w:r w:rsidR="00F96C22" w:rsidRPr="004E4AD0">
        <w:t xml:space="preserve"> to</w:t>
      </w:r>
      <w:r w:rsidR="00582567" w:rsidRPr="004E4AD0">
        <w:t xml:space="preserve"> increase robustness of HARQ operation in any network and may be useful for NTN as well in some circumstances</w:t>
      </w:r>
      <w:r w:rsidR="0084577D" w:rsidRPr="004E4AD0">
        <w:t>.</w:t>
      </w:r>
    </w:p>
    <w:p w14:paraId="353ACF03" w14:textId="1E281A43" w:rsidR="00283D8E" w:rsidRPr="005F0C00" w:rsidRDefault="00283D8E" w:rsidP="00283D8E">
      <w:pPr>
        <w:pStyle w:val="BodyText"/>
      </w:pPr>
      <w:r w:rsidRPr="004E4AD0">
        <w:t xml:space="preserve">In the case of the NR Type-1 HARQ codebook, as the size of the codebook is fixed based on configuration and should not change dynamically, one simple approach is to insert NACKs in the positions corresponding to PDSCHs associated with feedback disabled HARQ processes.  </w:t>
      </w:r>
      <w:r w:rsidRPr="005F0C00">
        <w:t xml:space="preserve">For PDSCHs associated with feedback enabled HARQ processes, the UE inserts ACK or NACK depending on the decoding outcome of the PDSCHs.  An example of a NR Type 1 HARQ codebook with feedback enabled/disabled HARQ processes is shown in </w:t>
      </w:r>
      <w:r>
        <w:fldChar w:fldCharType="begin"/>
      </w:r>
      <w:r w:rsidRPr="005F0C00">
        <w:instrText xml:space="preserve"> REF _Ref20351518 \h </w:instrText>
      </w:r>
      <w:r>
        <w:fldChar w:fldCharType="separate"/>
      </w:r>
      <w:r w:rsidR="00F46034" w:rsidRPr="005F0C00">
        <w:t xml:space="preserve">Figure </w:t>
      </w:r>
      <w:r w:rsidR="00F46034">
        <w:t>1</w:t>
      </w:r>
      <w:r>
        <w:fldChar w:fldCharType="end"/>
      </w:r>
      <w:r w:rsidRPr="005F0C00">
        <w:t>.  In the DL association set for HARQ codebook in slot n, the UE receives a PDSCH associated with a feedback disabled HARQ process in slot n-3 (corresponding to K1=3) and a PDSCH associated with a feedback enabled HARQ process in slot n-1 (corresponding to K1=1).  As there is no ACK-NACK feedback for the PDSCH associated with feedback disabled HARQ process, the UE will insert a NACK (N) in position K1=3 corresponding to the PDSCH received in slot n-3.  For PDSCH received in slot n-</w:t>
      </w:r>
      <w:proofErr w:type="gramStart"/>
      <w:r w:rsidRPr="005F0C00">
        <w:t>1</w:t>
      </w:r>
      <w:proofErr w:type="gramEnd"/>
      <w:r w:rsidRPr="005F0C00">
        <w:t xml:space="preserve"> which is associated with a feedback enabled HARQ process, the UE inserts ACK-NACK bit X which depends on the outcome of the PDSCH associated with the feedback enabled HARQ process.  </w:t>
      </w:r>
    </w:p>
    <w:p w14:paraId="2EFAE222" w14:textId="77777777" w:rsidR="00283D8E" w:rsidRPr="005F0C00" w:rsidRDefault="00283D8E" w:rsidP="00283D8E">
      <w:r>
        <w:rPr>
          <w:noProof/>
        </w:rPr>
        <w:lastRenderedPageBreak/>
        <w:drawing>
          <wp:inline distT="0" distB="0" distL="0" distR="0" wp14:anchorId="30CCD316" wp14:editId="3CCACE1B">
            <wp:extent cx="6120765" cy="2425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425065"/>
                    </a:xfrm>
                    <a:prstGeom prst="rect">
                      <a:avLst/>
                    </a:prstGeom>
                  </pic:spPr>
                </pic:pic>
              </a:graphicData>
            </a:graphic>
          </wp:inline>
        </w:drawing>
      </w:r>
    </w:p>
    <w:p w14:paraId="50DF6D90" w14:textId="775E0970" w:rsidR="00283D8E" w:rsidRPr="0084577D" w:rsidRDefault="00283D8E" w:rsidP="0084577D">
      <w:pPr>
        <w:pStyle w:val="Caption"/>
        <w:jc w:val="center"/>
        <w:rPr>
          <w:lang w:val="en-GB" w:eastAsia="ja-JP"/>
        </w:rPr>
      </w:pPr>
      <w:bookmarkStart w:id="5" w:name="_Ref20351518"/>
      <w:r w:rsidRPr="005F0C00">
        <w:t xml:space="preserve">Figure </w:t>
      </w:r>
      <w:r>
        <w:fldChar w:fldCharType="begin"/>
      </w:r>
      <w:r w:rsidRPr="005F0C00">
        <w:instrText xml:space="preserve"> SEQ Figure \* ARABIC </w:instrText>
      </w:r>
      <w:r>
        <w:fldChar w:fldCharType="separate"/>
      </w:r>
      <w:r w:rsidR="00F46034">
        <w:t>1</w:t>
      </w:r>
      <w:r>
        <w:fldChar w:fldCharType="end"/>
      </w:r>
      <w:bookmarkEnd w:id="5"/>
      <w:r w:rsidRPr="005F0C00">
        <w:t>:  An example of a NR Type 1 HARQ codebook with feedback enabled/disabled HARQ processes</w:t>
      </w:r>
    </w:p>
    <w:p w14:paraId="6471953E" w14:textId="77777777" w:rsidR="0084577D" w:rsidRDefault="0084577D" w:rsidP="00283D8E">
      <w:pPr>
        <w:jc w:val="both"/>
        <w:rPr>
          <w:rFonts w:ascii="Arial" w:hAnsi="Arial"/>
        </w:rPr>
      </w:pPr>
    </w:p>
    <w:p w14:paraId="267B123E" w14:textId="571BE6C9" w:rsidR="00283D8E" w:rsidRDefault="00283D8E" w:rsidP="00283D8E">
      <w:pPr>
        <w:jc w:val="both"/>
        <w:rPr>
          <w:rFonts w:ascii="Arial" w:hAnsi="Arial"/>
        </w:rPr>
      </w:pPr>
      <w:r w:rsidRPr="005F0C00">
        <w:rPr>
          <w:rFonts w:ascii="Arial" w:hAnsi="Arial"/>
        </w:rPr>
        <w:t xml:space="preserve">In the case of the NR Type-2 HARQ codebook, </w:t>
      </w:r>
      <w:bookmarkStart w:id="6" w:name="_Hlk20352267"/>
      <w:r w:rsidRPr="005F0C00">
        <w:rPr>
          <w:rFonts w:ascii="Arial" w:hAnsi="Arial"/>
        </w:rPr>
        <w:t>a UE can simply ignore counter DAI from a PDCCH that is associated with a feedback disabled HARQ process</w:t>
      </w:r>
      <w:bookmarkEnd w:id="6"/>
      <w:r w:rsidRPr="005F0C00">
        <w:rPr>
          <w:rFonts w:ascii="Arial" w:hAnsi="Arial"/>
        </w:rPr>
        <w:t xml:space="preserve">.  Furthermore, the </w:t>
      </w:r>
      <w:proofErr w:type="spellStart"/>
      <w:r w:rsidRPr="005F0C00">
        <w:rPr>
          <w:rFonts w:ascii="Arial" w:hAnsi="Arial"/>
        </w:rPr>
        <w:t>gNB</w:t>
      </w:r>
      <w:proofErr w:type="spellEnd"/>
      <w:r w:rsidRPr="005F0C00">
        <w:rPr>
          <w:rFonts w:ascii="Arial" w:hAnsi="Arial"/>
        </w:rPr>
        <w:t xml:space="preserve"> does not need to increment the counter DAI for a PDCCH that is associated with a feedback disabled HARQ process.  If total DAI is present, it indicates the sum of all the scheduled PDCCHs associated with feedback enabled HARQ process.</w:t>
      </w:r>
    </w:p>
    <w:p w14:paraId="5A77A1B3" w14:textId="5AA7215D" w:rsidR="00283D8E" w:rsidRPr="004E4AD0" w:rsidRDefault="00283D8E" w:rsidP="00283D8E">
      <w:pPr>
        <w:jc w:val="both"/>
        <w:rPr>
          <w:rFonts w:ascii="Arial" w:hAnsi="Arial"/>
        </w:rPr>
      </w:pPr>
      <w:r>
        <w:rPr>
          <w:rFonts w:ascii="Arial" w:hAnsi="Arial"/>
        </w:rPr>
        <w:t>Two</w:t>
      </w:r>
      <w:r w:rsidRPr="007549A0">
        <w:rPr>
          <w:rFonts w:ascii="Arial" w:hAnsi="Arial"/>
        </w:rPr>
        <w:t xml:space="preserve"> example</w:t>
      </w:r>
      <w:r>
        <w:rPr>
          <w:rFonts w:ascii="Arial" w:hAnsi="Arial"/>
        </w:rPr>
        <w:t>s</w:t>
      </w:r>
      <w:r w:rsidRPr="007549A0">
        <w:rPr>
          <w:rFonts w:ascii="Arial" w:hAnsi="Arial"/>
        </w:rPr>
        <w:t xml:space="preserve"> </w:t>
      </w:r>
      <w:r>
        <w:rPr>
          <w:rFonts w:ascii="Arial" w:hAnsi="Arial"/>
        </w:rPr>
        <w:t>are</w:t>
      </w:r>
      <w:r w:rsidRPr="007549A0">
        <w:rPr>
          <w:rFonts w:ascii="Arial" w:hAnsi="Arial"/>
        </w:rPr>
        <w:t xml:space="preserve"> shown in </w:t>
      </w:r>
      <w:r>
        <w:rPr>
          <w:rFonts w:ascii="Arial" w:hAnsi="Arial"/>
        </w:rPr>
        <w:fldChar w:fldCharType="begin"/>
      </w:r>
      <w:r w:rsidRPr="007549A0">
        <w:rPr>
          <w:rFonts w:ascii="Arial" w:hAnsi="Arial"/>
        </w:rPr>
        <w:instrText xml:space="preserve"> REF _Ref20352474 \h  \* MERGEFORMAT </w:instrText>
      </w:r>
      <w:r>
        <w:rPr>
          <w:rFonts w:ascii="Arial" w:hAnsi="Arial"/>
        </w:rPr>
      </w:r>
      <w:r>
        <w:rPr>
          <w:rFonts w:ascii="Arial" w:hAnsi="Arial"/>
        </w:rPr>
        <w:fldChar w:fldCharType="separate"/>
      </w:r>
      <w:r w:rsidR="00F46034" w:rsidRPr="00BE6A5F">
        <w:rPr>
          <w:rFonts w:ascii="Arial" w:hAnsi="Arial"/>
        </w:rPr>
        <w:t>Figure 2</w:t>
      </w:r>
      <w:r>
        <w:rPr>
          <w:rFonts w:ascii="Arial" w:hAnsi="Arial"/>
        </w:rPr>
        <w:fldChar w:fldCharType="end"/>
      </w:r>
      <w:r w:rsidRPr="007549A0">
        <w:rPr>
          <w:rFonts w:ascii="Arial" w:hAnsi="Arial"/>
        </w:rPr>
        <w:t>.</w:t>
      </w:r>
      <w:r>
        <w:rPr>
          <w:rFonts w:ascii="Arial" w:hAnsi="Arial"/>
        </w:rPr>
        <w:t xml:space="preserve"> The numbers (</w:t>
      </w:r>
      <w:proofErr w:type="spellStart"/>
      <w:proofErr w:type="gramStart"/>
      <w:r>
        <w:rPr>
          <w:rFonts w:ascii="Arial" w:hAnsi="Arial"/>
        </w:rPr>
        <w:t>cDAI,tDAI</w:t>
      </w:r>
      <w:proofErr w:type="spellEnd"/>
      <w:proofErr w:type="gramEnd"/>
      <w:r>
        <w:rPr>
          <w:rFonts w:ascii="Arial" w:hAnsi="Arial"/>
        </w:rPr>
        <w:t xml:space="preserve">) in the boxes indicate counter DAI and total DAI, respectively. The upper example shows the legacy case where all PDSCHs are associated with feedback enabled HARQ processes and the DAIs are incremented for each PDCCH. In the lower example, the green boxes indicate scheduling of PDSCH associated with feedback disabled HARQ processes. The counter DAI is not incremented in the PDCCHs scheduling the HARQ disabled processes and the total DAI does not take these PDCCHs into account. </w:t>
      </w:r>
      <w:r w:rsidR="00F96C22" w:rsidRPr="004E4AD0">
        <w:rPr>
          <w:rFonts w:ascii="Arial" w:hAnsi="Arial"/>
        </w:rPr>
        <w:t>But</w:t>
      </w:r>
      <w:r w:rsidRPr="004E4AD0">
        <w:rPr>
          <w:rFonts w:ascii="Arial" w:hAnsi="Arial"/>
        </w:rPr>
        <w:t xml:space="preserve"> the true DAI values are still signaled</w:t>
      </w:r>
      <w:r w:rsidR="00F96C22" w:rsidRPr="004E4AD0">
        <w:rPr>
          <w:rFonts w:ascii="Arial" w:hAnsi="Arial"/>
        </w:rPr>
        <w:t xml:space="preserve"> to</w:t>
      </w:r>
      <w:r w:rsidR="00F96C22" w:rsidRPr="004E4AD0">
        <w:t xml:space="preserve"> </w:t>
      </w:r>
      <w:r w:rsidR="00F96C22" w:rsidRPr="004E4AD0">
        <w:rPr>
          <w:rFonts w:ascii="Arial" w:hAnsi="Arial"/>
        </w:rPr>
        <w:t>increase the robustness of the dynamic codebook construction of HARQ processes with feedback enabled</w:t>
      </w:r>
      <w:r w:rsidRPr="004E4AD0" w:rsidDel="00F96C22">
        <w:rPr>
          <w:rFonts w:ascii="Arial" w:hAnsi="Arial"/>
        </w:rPr>
        <w:t>.</w:t>
      </w:r>
    </w:p>
    <w:p w14:paraId="3A832D50" w14:textId="6E652A66" w:rsidR="00283D8E" w:rsidRDefault="00E06982" w:rsidP="00283D8E">
      <w:pPr>
        <w:jc w:val="both"/>
        <w:rPr>
          <w:rFonts w:ascii="Arial" w:hAnsi="Arial"/>
        </w:rPr>
      </w:pPr>
      <w:r>
        <w:rPr>
          <w:noProof/>
        </w:rPr>
        <w:drawing>
          <wp:inline distT="0" distB="0" distL="0" distR="0" wp14:anchorId="6A93EBF3" wp14:editId="7EB42804">
            <wp:extent cx="6120765" cy="2699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699385"/>
                    </a:xfrm>
                    <a:prstGeom prst="rect">
                      <a:avLst/>
                    </a:prstGeom>
                  </pic:spPr>
                </pic:pic>
              </a:graphicData>
            </a:graphic>
          </wp:inline>
        </w:drawing>
      </w:r>
    </w:p>
    <w:p w14:paraId="556E355F" w14:textId="396FA260" w:rsidR="00283D8E" w:rsidRPr="006A63B9" w:rsidRDefault="00283D8E" w:rsidP="00283D8E">
      <w:pPr>
        <w:pStyle w:val="Caption"/>
        <w:jc w:val="center"/>
        <w:rPr>
          <w:lang w:val="en-GB" w:eastAsia="ja-JP"/>
        </w:rPr>
      </w:pPr>
      <w:bookmarkStart w:id="7" w:name="_Ref20352474"/>
      <w:r w:rsidRPr="005F0C00">
        <w:t xml:space="preserve">Figure </w:t>
      </w:r>
      <w:r>
        <w:fldChar w:fldCharType="begin"/>
      </w:r>
      <w:r w:rsidRPr="005F0C00">
        <w:instrText xml:space="preserve"> SEQ Figure \* ARABIC </w:instrText>
      </w:r>
      <w:r>
        <w:fldChar w:fldCharType="separate"/>
      </w:r>
      <w:r w:rsidR="00F46034">
        <w:t>2</w:t>
      </w:r>
      <w:r>
        <w:fldChar w:fldCharType="end"/>
      </w:r>
      <w:bookmarkEnd w:id="7"/>
      <w:r w:rsidRPr="005F0C00">
        <w:t>:  An example of a NR Type 2 HARQ codebook with feedback enabled/disabled HARQ processes</w:t>
      </w:r>
    </w:p>
    <w:p w14:paraId="00025927" w14:textId="2E6BBDF1" w:rsidR="00283D8E" w:rsidRPr="005F0C00" w:rsidRDefault="009257BF" w:rsidP="00283D8E">
      <w:pPr>
        <w:jc w:val="both"/>
        <w:rPr>
          <w:rFonts w:ascii="Arial" w:hAnsi="Arial"/>
        </w:rPr>
      </w:pPr>
      <w:r w:rsidRPr="009257BF">
        <w:rPr>
          <w:rFonts w:ascii="Arial" w:hAnsi="Arial"/>
        </w:rPr>
        <w:lastRenderedPageBreak/>
        <w:t>In the case of the NR Type-</w:t>
      </w:r>
      <w:r w:rsidR="00477107">
        <w:rPr>
          <w:rFonts w:ascii="Arial" w:hAnsi="Arial"/>
        </w:rPr>
        <w:t>3</w:t>
      </w:r>
      <w:r w:rsidRPr="009257BF">
        <w:rPr>
          <w:rFonts w:ascii="Arial" w:hAnsi="Arial"/>
        </w:rPr>
        <w:t xml:space="preserve"> HARQ codebook, </w:t>
      </w:r>
      <w:r w:rsidR="00335EAF">
        <w:rPr>
          <w:rFonts w:ascii="Arial" w:hAnsi="Arial"/>
        </w:rPr>
        <w:t>feedback is provided on all HARQ processes in one shot. In order to reduce unnecessary overhead</w:t>
      </w:r>
      <w:r w:rsidRPr="009257BF">
        <w:rPr>
          <w:rFonts w:ascii="Arial" w:hAnsi="Arial"/>
        </w:rPr>
        <w:t xml:space="preserve"> one simple approach is to</w:t>
      </w:r>
      <w:r w:rsidR="00335EAF">
        <w:rPr>
          <w:rFonts w:ascii="Arial" w:hAnsi="Arial"/>
        </w:rPr>
        <w:t xml:space="preserve"> only provide ACK/NACK information in the Type-3 codebook for those HARQ processes that are enabled. This allows for an optimized codebook size that does not vary dynamically. The Type 3 codebook can thus be used to increase reliability in some situations.</w:t>
      </w:r>
      <w:r w:rsidRPr="009257BF">
        <w:rPr>
          <w:rFonts w:ascii="Arial" w:hAnsi="Arial"/>
        </w:rPr>
        <w:t xml:space="preserve">  </w:t>
      </w:r>
    </w:p>
    <w:p w14:paraId="7E9B0C46" w14:textId="77777777" w:rsidR="00486076" w:rsidRPr="005F0C00" w:rsidRDefault="00486076" w:rsidP="00486076">
      <w:pPr>
        <w:pStyle w:val="BodyText"/>
      </w:pPr>
      <w:bookmarkStart w:id="8" w:name="_Toc31805899"/>
    </w:p>
    <w:p w14:paraId="7CF92F5D" w14:textId="44FFD4C4" w:rsidR="00486076" w:rsidRDefault="00486076" w:rsidP="00486076">
      <w:pPr>
        <w:pStyle w:val="Proposal"/>
      </w:pPr>
      <w:bookmarkStart w:id="9" w:name="_Toc31805898"/>
      <w:bookmarkStart w:id="10" w:name="_Toc47672435"/>
      <w:r w:rsidRPr="005F0C00">
        <w:t>When HARQ processes are enabled/disabled on a per HARQ process</w:t>
      </w:r>
      <w:r w:rsidR="002928CE">
        <w:t xml:space="preserve"> basis</w:t>
      </w:r>
      <w:r w:rsidRPr="005F0C00">
        <w:t>, in the case of the NR Type-1 HARQ codebook, the UE inserts NACKs in positions corresponding to PDSCHs associated with feedback disabled HARQ processes.</w:t>
      </w:r>
      <w:bookmarkEnd w:id="9"/>
      <w:bookmarkEnd w:id="10"/>
    </w:p>
    <w:p w14:paraId="7522E643" w14:textId="519A4FEE" w:rsidR="00283D8E" w:rsidRPr="005F0C00" w:rsidRDefault="00283D8E" w:rsidP="00283D8E">
      <w:pPr>
        <w:pStyle w:val="Proposal"/>
      </w:pPr>
      <w:bookmarkStart w:id="11" w:name="_Toc47672436"/>
      <w:r w:rsidRPr="005F0C00">
        <w:t>When HARQ processes are enabled/disabled on a per HARQ process</w:t>
      </w:r>
      <w:r w:rsidR="00AB6A8B">
        <w:t xml:space="preserve"> basis</w:t>
      </w:r>
      <w:r w:rsidRPr="005F0C00">
        <w:t>, in the case of the NR Type-2 HARQ codebook, the UE ignores counter DAI from a PDCCH that is associated with a feedback disabled HARQ process and counter DAI is not incremented for such a PDCCH.</w:t>
      </w:r>
      <w:bookmarkEnd w:id="8"/>
      <w:bookmarkEnd w:id="11"/>
    </w:p>
    <w:p w14:paraId="1DCECA95" w14:textId="76629406" w:rsidR="00432D1E" w:rsidRDefault="00283D8E" w:rsidP="00432D1E">
      <w:pPr>
        <w:pStyle w:val="Proposal"/>
      </w:pPr>
      <w:bookmarkStart w:id="12" w:name="_Toc31805900"/>
      <w:bookmarkStart w:id="13" w:name="_Toc47672437"/>
      <w:r w:rsidRPr="005F0C00">
        <w:t>When HARQ processes are enabled/disabled on a per HARQ process</w:t>
      </w:r>
      <w:r w:rsidR="00AB6A8B">
        <w:t xml:space="preserve"> basis</w:t>
      </w:r>
      <w:r w:rsidRPr="005F0C00">
        <w:t>, in the case of the NR Type-2 HARQ codebook, the total DAI (if present) indicates the sum of all the scheduled PDCCHs associated with feedback enabled HARQ process.</w:t>
      </w:r>
      <w:bookmarkEnd w:id="12"/>
      <w:bookmarkEnd w:id="13"/>
    </w:p>
    <w:p w14:paraId="3ED5A357" w14:textId="64AA4BDB" w:rsidR="00335EAF" w:rsidRPr="00283D8E" w:rsidRDefault="00335EAF" w:rsidP="00432D1E">
      <w:pPr>
        <w:pStyle w:val="Proposal"/>
      </w:pPr>
      <w:bookmarkStart w:id="14" w:name="_Toc47672438"/>
      <w:r>
        <w:t xml:space="preserve">When HARQ processes are enabled/disabled on a per HARQ process basis, </w:t>
      </w:r>
      <w:r w:rsidR="006C060D">
        <w:t xml:space="preserve">in the case of the NR Type-3 HARQ codebook, the codebook </w:t>
      </w:r>
      <w:r w:rsidR="00DC624C">
        <w:t xml:space="preserve">size is dimensioned to </w:t>
      </w:r>
      <w:r w:rsidR="006C060D">
        <w:t>include ACK/NACK information only for HARQ processes that are enabled.</w:t>
      </w:r>
      <w:bookmarkEnd w:id="14"/>
      <w:r w:rsidR="006C060D">
        <w:t xml:space="preserve"> </w:t>
      </w:r>
    </w:p>
    <w:p w14:paraId="64DD39E3" w14:textId="22BBD1BC" w:rsidR="0084577D" w:rsidRPr="00CC74AB" w:rsidRDefault="0084577D" w:rsidP="0084577D">
      <w:pPr>
        <w:pStyle w:val="Heading1"/>
      </w:pPr>
      <w:r>
        <w:t>4</w:t>
      </w:r>
      <w:r>
        <w:tab/>
        <w:t>On the n</w:t>
      </w:r>
      <w:r w:rsidRPr="00CC74AB">
        <w:t>umber of HARQ processes</w:t>
      </w:r>
    </w:p>
    <w:p w14:paraId="1602A66A" w14:textId="6C9EA306" w:rsidR="0084577D" w:rsidRDefault="0084577D" w:rsidP="0084577D">
      <w:pPr>
        <w:pStyle w:val="Heading2"/>
      </w:pPr>
      <w:r>
        <w:t>4.1</w:t>
      </w:r>
      <w:r>
        <w:tab/>
        <w:t>Alternatives to increasing number of HARQ processes for NTN</w:t>
      </w:r>
    </w:p>
    <w:p w14:paraId="7EB6E807" w14:textId="3A187C32" w:rsidR="0084577D" w:rsidRDefault="0084577D" w:rsidP="0084577D">
      <w:pPr>
        <w:jc w:val="both"/>
        <w:rPr>
          <w:rFonts w:ascii="Arial" w:hAnsi="Arial"/>
          <w:lang w:val="en-GB" w:eastAsia="ja-JP"/>
        </w:rPr>
      </w:pPr>
      <w:r>
        <w:rPr>
          <w:rFonts w:ascii="Arial" w:hAnsi="Arial"/>
          <w:lang w:val="en-GB" w:eastAsia="ja-JP"/>
        </w:rPr>
        <w:t>According to 3GPP TS 38.821, the option of increasing t</w:t>
      </w:r>
      <w:r w:rsidRPr="00915C5C">
        <w:rPr>
          <w:rFonts w:ascii="Arial" w:hAnsi="Arial"/>
          <w:lang w:val="en-GB" w:eastAsia="ja-JP"/>
        </w:rPr>
        <w:t>he number of HARQ processes</w:t>
      </w:r>
      <w:r>
        <w:rPr>
          <w:rFonts w:ascii="Arial" w:hAnsi="Arial"/>
          <w:lang w:val="en-GB" w:eastAsia="ja-JP"/>
        </w:rPr>
        <w:t xml:space="preserve"> should be further discussed when specifications for NTN are developed</w:t>
      </w:r>
      <w:r w:rsidRPr="00915C5C">
        <w:rPr>
          <w:rFonts w:ascii="Arial" w:hAnsi="Arial"/>
          <w:lang w:val="en-GB" w:eastAsia="ja-JP"/>
        </w:rPr>
        <w:t xml:space="preserve">. </w:t>
      </w:r>
      <w:r>
        <w:rPr>
          <w:rFonts w:ascii="Arial" w:hAnsi="Arial"/>
          <w:lang w:val="en-GB" w:eastAsia="ja-JP"/>
        </w:rPr>
        <w:t>However, increasing the number of HARQ processes is not well motivated, as there exist several other ways to address the issue originated from the stop-and-wait HARQ protocol.</w:t>
      </w:r>
    </w:p>
    <w:p w14:paraId="49F0453C" w14:textId="77777777" w:rsidR="0084577D" w:rsidRDefault="0084577D" w:rsidP="0084577D">
      <w:pPr>
        <w:pStyle w:val="ListParagraph"/>
        <w:numPr>
          <w:ilvl w:val="0"/>
          <w:numId w:val="47"/>
        </w:numPr>
        <w:jc w:val="both"/>
        <w:rPr>
          <w:rFonts w:ascii="Arial" w:hAnsi="Arial"/>
          <w:lang w:val="en-GB" w:eastAsia="ja-JP"/>
        </w:rPr>
      </w:pPr>
      <w:r>
        <w:rPr>
          <w:rFonts w:ascii="Arial" w:hAnsi="Arial"/>
          <w:lang w:val="en-GB" w:eastAsia="ja-JP"/>
        </w:rPr>
        <w:t>Option 1: E</w:t>
      </w:r>
      <w:r w:rsidRPr="002E19F3">
        <w:rPr>
          <w:rFonts w:ascii="Arial" w:hAnsi="Arial"/>
          <w:lang w:val="en-GB" w:eastAsia="ja-JP"/>
        </w:rPr>
        <w:t xml:space="preserve">nabling / disabling of HARQ feedback on a per UE </w:t>
      </w:r>
      <w:r>
        <w:rPr>
          <w:rFonts w:ascii="Arial" w:hAnsi="Arial"/>
          <w:lang w:val="en-GB" w:eastAsia="ja-JP"/>
        </w:rPr>
        <w:t>or</w:t>
      </w:r>
      <w:r w:rsidRPr="002E19F3">
        <w:rPr>
          <w:rFonts w:ascii="Arial" w:hAnsi="Arial"/>
          <w:lang w:val="en-GB" w:eastAsia="ja-JP"/>
        </w:rPr>
        <w:t xml:space="preserve"> per HARQ process basis</w:t>
      </w:r>
    </w:p>
    <w:p w14:paraId="219CEFD5" w14:textId="77777777" w:rsidR="0084577D" w:rsidRDefault="0084577D" w:rsidP="0084577D">
      <w:pPr>
        <w:pStyle w:val="ListParagraph"/>
        <w:numPr>
          <w:ilvl w:val="1"/>
          <w:numId w:val="47"/>
        </w:numPr>
        <w:jc w:val="both"/>
        <w:rPr>
          <w:rFonts w:ascii="Arial" w:hAnsi="Arial"/>
          <w:lang w:val="en-GB" w:eastAsia="ja-JP"/>
        </w:rPr>
      </w:pPr>
      <w:r>
        <w:rPr>
          <w:rFonts w:ascii="Arial" w:hAnsi="Arial"/>
          <w:lang w:val="en-GB" w:eastAsia="ja-JP"/>
        </w:rPr>
        <w:t xml:space="preserve">It is already agreed that HARQ feedback can be disabled for NTN. This method can already resolve the throughput reduction due to the stalling caused by the stop-and-wait protocol. </w:t>
      </w:r>
    </w:p>
    <w:p w14:paraId="1CA97A79" w14:textId="77777777" w:rsidR="0084577D" w:rsidRDefault="0084577D" w:rsidP="0084577D">
      <w:pPr>
        <w:pStyle w:val="ListParagraph"/>
        <w:numPr>
          <w:ilvl w:val="0"/>
          <w:numId w:val="47"/>
        </w:numPr>
        <w:jc w:val="both"/>
        <w:rPr>
          <w:rFonts w:ascii="Arial" w:hAnsi="Arial"/>
          <w:lang w:val="en-GB" w:eastAsia="ja-JP"/>
        </w:rPr>
      </w:pPr>
      <w:r>
        <w:rPr>
          <w:rFonts w:ascii="Arial" w:hAnsi="Arial"/>
          <w:lang w:val="en-GB" w:eastAsia="ja-JP"/>
        </w:rPr>
        <w:t>Option 2: TDM scheduling of multiple UEs in a cell from a system perspective</w:t>
      </w:r>
    </w:p>
    <w:p w14:paraId="2CCC415C" w14:textId="36C06D45" w:rsidR="0084577D" w:rsidRDefault="0084577D" w:rsidP="0084577D">
      <w:pPr>
        <w:pStyle w:val="ListParagraph"/>
        <w:numPr>
          <w:ilvl w:val="1"/>
          <w:numId w:val="47"/>
        </w:numPr>
        <w:jc w:val="both"/>
        <w:rPr>
          <w:rFonts w:ascii="Arial" w:hAnsi="Arial"/>
          <w:lang w:val="en-GB" w:eastAsia="ja-JP"/>
        </w:rPr>
      </w:pPr>
      <w:r>
        <w:rPr>
          <w:rFonts w:ascii="Arial" w:hAnsi="Arial"/>
          <w:lang w:val="en-GB" w:eastAsia="ja-JP"/>
        </w:rPr>
        <w:t xml:space="preserve">Continuous data transmission is possible from a system perspective, by scheduling different UEs in different slots. </w:t>
      </w:r>
    </w:p>
    <w:p w14:paraId="3E1897CA" w14:textId="3E7957CB" w:rsidR="0084577D" w:rsidRPr="0084577D" w:rsidRDefault="0084577D" w:rsidP="0084577D">
      <w:pPr>
        <w:jc w:val="both"/>
        <w:rPr>
          <w:rFonts w:ascii="Arial" w:hAnsi="Arial"/>
          <w:lang w:val="en-GB" w:eastAsia="ja-JP"/>
        </w:rPr>
      </w:pPr>
      <w:r>
        <w:rPr>
          <w:rFonts w:ascii="Arial" w:hAnsi="Arial"/>
          <w:lang w:val="en-GB" w:eastAsia="ja-JP"/>
        </w:rPr>
        <w:t>In addition, d</w:t>
      </w:r>
      <w:r w:rsidRPr="0084577D">
        <w:rPr>
          <w:rFonts w:ascii="Arial" w:hAnsi="Arial"/>
          <w:lang w:val="en-GB" w:eastAsia="ja-JP"/>
        </w:rPr>
        <w:t>epending on carrier frequency</w:t>
      </w:r>
      <w:r w:rsidR="00EC1F9E">
        <w:rPr>
          <w:rFonts w:ascii="Arial" w:hAnsi="Arial"/>
          <w:lang w:val="en-GB" w:eastAsia="ja-JP"/>
        </w:rPr>
        <w:t>, subcarrier spacing,</w:t>
      </w:r>
      <w:r w:rsidRPr="0084577D">
        <w:rPr>
          <w:rFonts w:ascii="Arial" w:hAnsi="Arial"/>
          <w:lang w:val="en-GB" w:eastAsia="ja-JP"/>
        </w:rPr>
        <w:t xml:space="preserve"> satellite </w:t>
      </w:r>
      <w:r w:rsidR="00EC1F9E">
        <w:rPr>
          <w:rFonts w:ascii="Arial" w:hAnsi="Arial"/>
          <w:lang w:val="en-GB" w:eastAsia="ja-JP"/>
        </w:rPr>
        <w:t xml:space="preserve">altitude and </w:t>
      </w:r>
      <w:r w:rsidRPr="0084577D">
        <w:rPr>
          <w:rFonts w:ascii="Arial" w:hAnsi="Arial"/>
          <w:lang w:val="en-GB" w:eastAsia="ja-JP"/>
        </w:rPr>
        <w:t xml:space="preserve">elevation, the </w:t>
      </w:r>
      <w:r w:rsidR="00EC1F9E">
        <w:rPr>
          <w:rFonts w:ascii="Arial" w:hAnsi="Arial"/>
          <w:lang w:val="en-GB" w:eastAsia="ja-JP"/>
        </w:rPr>
        <w:t xml:space="preserve">needed </w:t>
      </w:r>
      <w:r>
        <w:rPr>
          <w:rFonts w:ascii="Arial" w:hAnsi="Arial"/>
          <w:lang w:val="en-GB" w:eastAsia="ja-JP"/>
        </w:rPr>
        <w:t xml:space="preserve">number of </w:t>
      </w:r>
      <w:r w:rsidRPr="0084577D">
        <w:rPr>
          <w:rFonts w:ascii="Arial" w:hAnsi="Arial"/>
          <w:lang w:val="en-GB" w:eastAsia="ja-JP"/>
        </w:rPr>
        <w:t>HARQ processes will differ. Hence, any increase is likely to be insufficient for many configurations.</w:t>
      </w:r>
      <w:r w:rsidR="00EC1F9E">
        <w:rPr>
          <w:rFonts w:ascii="Arial" w:hAnsi="Arial"/>
          <w:lang w:val="en-GB" w:eastAsia="ja-JP"/>
        </w:rPr>
        <w:t xml:space="preserve"> </w:t>
      </w:r>
    </w:p>
    <w:p w14:paraId="43C1E2EE" w14:textId="1C7A158B" w:rsidR="00EC1F9E" w:rsidRPr="008A5A04" w:rsidRDefault="0084577D" w:rsidP="00EC1F9E">
      <w:pPr>
        <w:pStyle w:val="Observation"/>
        <w:overflowPunct w:val="0"/>
        <w:autoSpaceDE w:val="0"/>
        <w:autoSpaceDN w:val="0"/>
        <w:adjustRightInd w:val="0"/>
        <w:spacing w:line="240" w:lineRule="auto"/>
        <w:textAlignment w:val="baseline"/>
      </w:pPr>
      <w:bookmarkStart w:id="15" w:name="_Toc19281090"/>
      <w:bookmarkStart w:id="16" w:name="_Toc23257406"/>
      <w:bookmarkStart w:id="17" w:name="_Toc31805886"/>
      <w:bookmarkStart w:id="18" w:name="_Toc47672430"/>
      <w:r w:rsidRPr="008A5A04">
        <w:t>The</w:t>
      </w:r>
      <w:r>
        <w:rPr>
          <w:lang w:val="en-GB"/>
        </w:rPr>
        <w:t xml:space="preserve"> motivation of increasing number of HARQ processes is not clear, as there exist several other ways to address the issue originated from the stop-</w:t>
      </w:r>
      <w:r>
        <w:rPr>
          <w:lang w:val="en-GB"/>
        </w:rPr>
        <w:lastRenderedPageBreak/>
        <w:t>and-wait HARQ protocol</w:t>
      </w:r>
      <w:r w:rsidR="00EC1F9E">
        <w:rPr>
          <w:lang w:val="en-GB"/>
        </w:rPr>
        <w:t>, particularly by enabling / disabling HARQ feedback</w:t>
      </w:r>
      <w:r>
        <w:rPr>
          <w:lang w:val="en-GB"/>
        </w:rPr>
        <w:t>.</w:t>
      </w:r>
      <w:bookmarkEnd w:id="15"/>
      <w:bookmarkEnd w:id="16"/>
      <w:bookmarkEnd w:id="17"/>
      <w:r w:rsidR="00EC1F9E">
        <w:rPr>
          <w:lang w:val="en-GB"/>
        </w:rPr>
        <w:t xml:space="preserve"> </w:t>
      </w:r>
      <w:r w:rsidR="00EC1F9E" w:rsidRPr="00EC1F9E">
        <w:rPr>
          <w:lang w:val="en-GB"/>
        </w:rPr>
        <w:t>In addition, depending on carrier frequency, subcarrier spacing, satellite altitude and elevation, the needed number of HARQ processes will differ. Hence, any increase is likely to be insufficient for many configurations.</w:t>
      </w:r>
      <w:bookmarkEnd w:id="18"/>
      <w:r w:rsidR="00EC1F9E" w:rsidRPr="00EC1F9E">
        <w:rPr>
          <w:lang w:val="en-GB"/>
        </w:rPr>
        <w:t xml:space="preserve"> </w:t>
      </w:r>
    </w:p>
    <w:p w14:paraId="5D389432" w14:textId="0137211D" w:rsidR="0084577D" w:rsidRDefault="0084577D" w:rsidP="0084577D">
      <w:pPr>
        <w:pStyle w:val="Heading2"/>
      </w:pPr>
      <w:r>
        <w:t>4.2</w:t>
      </w:r>
      <w:r>
        <w:tab/>
        <w:t>Performance evaluation comparing HARQ without feedback to increasing number of HARQ processes</w:t>
      </w:r>
    </w:p>
    <w:p w14:paraId="38B4C455" w14:textId="5CDD3DC8" w:rsidR="001D11A4" w:rsidRDefault="007A2C92" w:rsidP="0084577D">
      <w:pPr>
        <w:jc w:val="both"/>
        <w:rPr>
          <w:rFonts w:ascii="Arial" w:hAnsi="Arial"/>
          <w:lang w:val="en-GB" w:eastAsia="ja-JP"/>
        </w:rPr>
      </w:pPr>
      <w:r>
        <w:rPr>
          <w:rFonts w:ascii="Arial" w:hAnsi="Arial"/>
          <w:lang w:val="en-GB" w:eastAsia="ja-JP"/>
        </w:rPr>
        <w:t xml:space="preserve">HARQ is useful when the radio channel exhibits high level of uncertainty due to fast fading. In this case, </w:t>
      </w:r>
      <w:r w:rsidRPr="00EC1F9E">
        <w:rPr>
          <w:rFonts w:ascii="Arial" w:hAnsi="Arial"/>
          <w:lang w:val="en-GB" w:eastAsia="ja-JP"/>
        </w:rPr>
        <w:t>the</w:t>
      </w:r>
      <w:r>
        <w:rPr>
          <w:rFonts w:ascii="Arial" w:hAnsi="Arial"/>
          <w:lang w:val="en-GB" w:eastAsia="ja-JP"/>
        </w:rPr>
        <w:t xml:space="preserve"> radio</w:t>
      </w:r>
      <w:r w:rsidRPr="00EC1F9E">
        <w:rPr>
          <w:rFonts w:ascii="Arial" w:hAnsi="Arial"/>
          <w:lang w:val="en-GB" w:eastAsia="ja-JP"/>
        </w:rPr>
        <w:t xml:space="preserve"> channel </w:t>
      </w:r>
      <w:r w:rsidR="001D11A4">
        <w:rPr>
          <w:rFonts w:ascii="Arial" w:hAnsi="Arial"/>
          <w:lang w:val="en-GB" w:eastAsia="ja-JP"/>
        </w:rPr>
        <w:t>may be</w:t>
      </w:r>
      <w:r w:rsidRPr="00EC1F9E">
        <w:rPr>
          <w:rFonts w:ascii="Arial" w:hAnsi="Arial"/>
          <w:lang w:val="en-GB" w:eastAsia="ja-JP"/>
        </w:rPr>
        <w:t xml:space="preserve"> better than expected, thus it is beneficial to use a higher BLER since sometimes the block is received correctly anyway and for erroneous blocks, the incremental information can be provided in a subsequent transmission. </w:t>
      </w:r>
      <w:r>
        <w:rPr>
          <w:rFonts w:ascii="Arial" w:hAnsi="Arial"/>
          <w:lang w:val="en-GB" w:eastAsia="ja-JP"/>
        </w:rPr>
        <w:t>Such f</w:t>
      </w:r>
      <w:r w:rsidRPr="00EC1F9E">
        <w:rPr>
          <w:rFonts w:ascii="Arial" w:hAnsi="Arial"/>
          <w:lang w:val="en-GB" w:eastAsia="ja-JP"/>
        </w:rPr>
        <w:t xml:space="preserve">ast fading is not the channel type </w:t>
      </w:r>
      <w:r w:rsidR="001D11A4">
        <w:rPr>
          <w:rFonts w:ascii="Arial" w:hAnsi="Arial"/>
          <w:lang w:val="en-GB" w:eastAsia="ja-JP"/>
        </w:rPr>
        <w:t>typical in</w:t>
      </w:r>
      <w:r w:rsidRPr="00EC1F9E">
        <w:rPr>
          <w:rFonts w:ascii="Arial" w:hAnsi="Arial"/>
          <w:lang w:val="en-GB" w:eastAsia="ja-JP"/>
        </w:rPr>
        <w:t xml:space="preserve"> NTN</w:t>
      </w:r>
      <w:r w:rsidR="001D11A4">
        <w:rPr>
          <w:rFonts w:ascii="Arial" w:hAnsi="Arial"/>
          <w:lang w:val="en-GB" w:eastAsia="ja-JP"/>
        </w:rPr>
        <w:t>.</w:t>
      </w:r>
      <w:r w:rsidR="001D11A4" w:rsidRPr="001D11A4">
        <w:rPr>
          <w:rFonts w:ascii="Arial" w:hAnsi="Arial"/>
          <w:lang w:val="en-GB" w:eastAsia="ja-JP"/>
        </w:rPr>
        <w:t xml:space="preserve"> </w:t>
      </w:r>
      <w:r w:rsidR="001D11A4">
        <w:rPr>
          <w:rFonts w:ascii="Arial" w:hAnsi="Arial"/>
          <w:lang w:val="en-GB" w:eastAsia="ja-JP"/>
        </w:rPr>
        <w:t>In NTN, the radio channel is typically dominated by a strong line-of-sight component. Consequently, the received signal level would typically be subject only to slow variations due to satellite movement (pathloss, antenna direction, etc). Even if these variations can be relatively fast for a low-altitude satellite, they are typically significantly slower than the round-trip time. This means that the MCS adaptation can track these variations sufficiently well and initial BLER can be held at a target BLER of e.g. 10%</w:t>
      </w:r>
      <w:r w:rsidR="00AF4939">
        <w:rPr>
          <w:rFonts w:ascii="Arial" w:hAnsi="Arial"/>
          <w:lang w:val="en-GB" w:eastAsia="ja-JP"/>
        </w:rPr>
        <w:t xml:space="preserve"> or 1%</w:t>
      </w:r>
      <w:r w:rsidR="001D11A4">
        <w:rPr>
          <w:rFonts w:ascii="Arial" w:hAnsi="Arial"/>
          <w:lang w:val="en-GB" w:eastAsia="ja-JP"/>
        </w:rPr>
        <w:t>. Therefore, HARQ is not expected to have a considerable effect on throughput.</w:t>
      </w:r>
    </w:p>
    <w:p w14:paraId="59A13EFD" w14:textId="5B0DBA66" w:rsidR="0084577D" w:rsidRDefault="0084577D" w:rsidP="0084577D">
      <w:pPr>
        <w:jc w:val="both"/>
        <w:rPr>
          <w:rFonts w:ascii="Arial" w:hAnsi="Arial"/>
          <w:lang w:val="en-GB" w:eastAsia="ja-JP"/>
        </w:rPr>
      </w:pPr>
      <w:r>
        <w:rPr>
          <w:rFonts w:ascii="Arial" w:hAnsi="Arial"/>
          <w:lang w:val="en-GB" w:eastAsia="ja-JP"/>
        </w:rPr>
        <w:t>To investigate this, link simulations with and without HARQ feedback were conducted. Three transmission cases are considered:</w:t>
      </w:r>
    </w:p>
    <w:p w14:paraId="19FA6866" w14:textId="77777777" w:rsidR="0084577D" w:rsidRDefault="0084577D" w:rsidP="0084577D">
      <w:pPr>
        <w:pStyle w:val="ListParagraph"/>
        <w:numPr>
          <w:ilvl w:val="0"/>
          <w:numId w:val="48"/>
        </w:numPr>
        <w:jc w:val="both"/>
        <w:rPr>
          <w:rFonts w:ascii="Arial" w:hAnsi="Arial"/>
          <w:lang w:val="en-GB" w:eastAsia="ja-JP"/>
        </w:rPr>
      </w:pPr>
      <w:r>
        <w:rPr>
          <w:rFonts w:ascii="Arial" w:hAnsi="Arial"/>
          <w:b/>
          <w:lang w:val="en-GB" w:eastAsia="ja-JP"/>
        </w:rPr>
        <w:t>HARQ disabled</w:t>
      </w:r>
      <w:r>
        <w:rPr>
          <w:rFonts w:ascii="Arial" w:hAnsi="Arial"/>
          <w:lang w:val="en-GB" w:eastAsia="ja-JP"/>
        </w:rPr>
        <w:t xml:space="preserve">: HARQ </w:t>
      </w:r>
      <w:r w:rsidRPr="00D30644">
        <w:rPr>
          <w:rFonts w:ascii="Arial" w:hAnsi="Arial"/>
          <w:lang w:val="en-GB" w:eastAsia="ja-JP"/>
        </w:rPr>
        <w:t xml:space="preserve">feedback </w:t>
      </w:r>
      <w:r>
        <w:rPr>
          <w:rFonts w:ascii="Arial" w:hAnsi="Arial"/>
          <w:lang w:val="en-GB" w:eastAsia="ja-JP"/>
        </w:rPr>
        <w:t xml:space="preserve">is disabled. Retransmissions of erroneous RLC PDUs are assumed to be handled by the RLC layer. </w:t>
      </w:r>
      <w:r w:rsidRPr="00D30644">
        <w:rPr>
          <w:rFonts w:ascii="Arial" w:hAnsi="Arial"/>
          <w:lang w:val="en-GB" w:eastAsia="ja-JP"/>
        </w:rPr>
        <w:t>The RLC throughput is calculated based on the physical layer BLER without HARQ</w:t>
      </w:r>
      <w:r>
        <w:rPr>
          <w:rFonts w:ascii="Arial" w:hAnsi="Arial"/>
          <w:lang w:val="en-GB" w:eastAsia="ja-JP"/>
        </w:rPr>
        <w:t xml:space="preserve"> feedback</w:t>
      </w:r>
      <w:r w:rsidRPr="00D30644">
        <w:rPr>
          <w:rFonts w:ascii="Arial" w:hAnsi="Arial"/>
          <w:lang w:val="en-GB" w:eastAsia="ja-JP"/>
        </w:rPr>
        <w:t>.</w:t>
      </w:r>
      <w:r>
        <w:rPr>
          <w:rFonts w:ascii="Arial" w:hAnsi="Arial"/>
          <w:lang w:val="en-GB" w:eastAsia="ja-JP"/>
        </w:rPr>
        <w:t xml:space="preserve"> The target BLER is 1%.</w:t>
      </w:r>
    </w:p>
    <w:p w14:paraId="3683C787" w14:textId="77777777" w:rsidR="0084577D" w:rsidRDefault="0084577D" w:rsidP="0084577D">
      <w:pPr>
        <w:pStyle w:val="ListParagraph"/>
        <w:numPr>
          <w:ilvl w:val="0"/>
          <w:numId w:val="48"/>
        </w:numPr>
        <w:jc w:val="both"/>
        <w:rPr>
          <w:rFonts w:ascii="Arial" w:hAnsi="Arial"/>
          <w:lang w:val="en-GB" w:eastAsia="ja-JP"/>
        </w:rPr>
      </w:pPr>
      <w:r w:rsidRPr="008C3007">
        <w:rPr>
          <w:rFonts w:ascii="Arial" w:hAnsi="Arial"/>
          <w:b/>
          <w:lang w:val="en-GB" w:eastAsia="ja-JP"/>
        </w:rPr>
        <w:t xml:space="preserve">HARQ with </w:t>
      </w:r>
      <w:r>
        <w:rPr>
          <w:rFonts w:ascii="Arial" w:hAnsi="Arial"/>
          <w:b/>
          <w:lang w:val="en-GB" w:eastAsia="ja-JP"/>
        </w:rPr>
        <w:t>32/64/128/256</w:t>
      </w:r>
      <w:r w:rsidRPr="008C3007">
        <w:rPr>
          <w:rFonts w:ascii="Arial" w:hAnsi="Arial"/>
          <w:b/>
          <w:lang w:val="en-GB" w:eastAsia="ja-JP"/>
        </w:rPr>
        <w:t xml:space="preserve"> HARQ </w:t>
      </w:r>
      <w:r w:rsidRPr="00D30644">
        <w:rPr>
          <w:rFonts w:ascii="Arial" w:hAnsi="Arial"/>
          <w:b/>
          <w:lang w:val="en-GB" w:eastAsia="ja-JP"/>
        </w:rPr>
        <w:t>process</w:t>
      </w:r>
      <w:r>
        <w:rPr>
          <w:rFonts w:ascii="Arial" w:hAnsi="Arial"/>
          <w:b/>
          <w:lang w:val="en-GB" w:eastAsia="ja-JP"/>
        </w:rPr>
        <w:t>es</w:t>
      </w:r>
      <w:r w:rsidRPr="008C3007">
        <w:rPr>
          <w:rFonts w:ascii="Arial" w:hAnsi="Arial"/>
          <w:lang w:val="en-GB" w:eastAsia="ja-JP"/>
        </w:rPr>
        <w:t xml:space="preserve">: HARQ </w:t>
      </w:r>
      <w:r>
        <w:rPr>
          <w:rFonts w:ascii="Arial" w:hAnsi="Arial"/>
          <w:lang w:val="en-GB" w:eastAsia="ja-JP"/>
        </w:rPr>
        <w:t>feedback</w:t>
      </w:r>
      <w:r w:rsidRPr="00D30644">
        <w:rPr>
          <w:rFonts w:ascii="Arial" w:hAnsi="Arial"/>
          <w:lang w:val="en-GB" w:eastAsia="ja-JP"/>
        </w:rPr>
        <w:t xml:space="preserve"> </w:t>
      </w:r>
      <w:r>
        <w:rPr>
          <w:rFonts w:ascii="Arial" w:hAnsi="Arial"/>
          <w:lang w:val="en-GB" w:eastAsia="ja-JP"/>
        </w:rPr>
        <w:t>is enabled</w:t>
      </w:r>
      <w:r w:rsidRPr="008C3007">
        <w:rPr>
          <w:rFonts w:ascii="Arial" w:hAnsi="Arial"/>
          <w:lang w:val="en-GB" w:eastAsia="ja-JP"/>
        </w:rPr>
        <w:t xml:space="preserve">. </w:t>
      </w:r>
      <w:r>
        <w:rPr>
          <w:rFonts w:ascii="Arial" w:hAnsi="Arial"/>
          <w:lang w:val="en-GB" w:eastAsia="ja-JP"/>
        </w:rPr>
        <w:t>The number of HARQ processes corresponds to the RTT to avoid stalling of the HARQ protocol. Two BLER targets are studied:</w:t>
      </w:r>
    </w:p>
    <w:p w14:paraId="788A61E7" w14:textId="77777777" w:rsidR="0084577D" w:rsidRDefault="0084577D" w:rsidP="0084577D">
      <w:pPr>
        <w:pStyle w:val="ListParagraph"/>
        <w:numPr>
          <w:ilvl w:val="1"/>
          <w:numId w:val="48"/>
        </w:numPr>
        <w:jc w:val="both"/>
        <w:rPr>
          <w:rFonts w:ascii="Arial" w:hAnsi="Arial"/>
          <w:lang w:val="en-GB" w:eastAsia="ja-JP"/>
        </w:rPr>
      </w:pPr>
      <w:r>
        <w:rPr>
          <w:rFonts w:ascii="Arial" w:hAnsi="Arial"/>
          <w:lang w:val="en-GB" w:eastAsia="ja-JP"/>
        </w:rPr>
        <w:t>BLER target of 1%</w:t>
      </w:r>
    </w:p>
    <w:p w14:paraId="6FDACF47" w14:textId="77777777" w:rsidR="0084577D" w:rsidRDefault="0084577D" w:rsidP="0084577D">
      <w:pPr>
        <w:pStyle w:val="ListParagraph"/>
        <w:numPr>
          <w:ilvl w:val="1"/>
          <w:numId w:val="48"/>
        </w:numPr>
        <w:jc w:val="both"/>
        <w:rPr>
          <w:rFonts w:ascii="Arial" w:hAnsi="Arial"/>
          <w:lang w:val="en-GB" w:eastAsia="ja-JP"/>
        </w:rPr>
      </w:pPr>
      <w:r>
        <w:rPr>
          <w:rFonts w:ascii="Arial" w:hAnsi="Arial"/>
          <w:lang w:val="en-GB" w:eastAsia="ja-JP"/>
        </w:rPr>
        <w:t>BLER target of 10%</w:t>
      </w:r>
    </w:p>
    <w:p w14:paraId="384EDA71" w14:textId="77777777" w:rsidR="0084577D" w:rsidRDefault="0084577D" w:rsidP="0084577D">
      <w:pPr>
        <w:pStyle w:val="ListParagraph"/>
        <w:numPr>
          <w:ilvl w:val="0"/>
          <w:numId w:val="48"/>
        </w:numPr>
        <w:jc w:val="both"/>
        <w:rPr>
          <w:rFonts w:ascii="Arial" w:hAnsi="Arial"/>
          <w:lang w:val="en-GB" w:eastAsia="ja-JP"/>
        </w:rPr>
      </w:pPr>
      <w:r w:rsidRPr="00887947">
        <w:rPr>
          <w:rFonts w:ascii="Arial" w:hAnsi="Arial"/>
          <w:b/>
          <w:lang w:val="en-GB" w:eastAsia="ja-JP"/>
        </w:rPr>
        <w:t>HARQ with 16 HARQ processes</w:t>
      </w:r>
      <w:r>
        <w:rPr>
          <w:rFonts w:ascii="Arial" w:hAnsi="Arial"/>
          <w:lang w:val="en-GB" w:eastAsia="ja-JP"/>
        </w:rPr>
        <w:t>: HARQ feedback</w:t>
      </w:r>
      <w:r w:rsidRPr="00D30644">
        <w:rPr>
          <w:rFonts w:ascii="Arial" w:hAnsi="Arial"/>
          <w:lang w:val="en-GB" w:eastAsia="ja-JP"/>
        </w:rPr>
        <w:t xml:space="preserve"> </w:t>
      </w:r>
      <w:r>
        <w:rPr>
          <w:rFonts w:ascii="Arial" w:hAnsi="Arial"/>
          <w:lang w:val="en-GB" w:eastAsia="ja-JP"/>
        </w:rPr>
        <w:t xml:space="preserve">is enabled. The number of HARQ processes is 16, as supported by NR. Consequently, the transmission will stop and wait for feedback when </w:t>
      </w:r>
      <w:r w:rsidRPr="00D30644">
        <w:rPr>
          <w:rFonts w:ascii="Arial" w:hAnsi="Arial"/>
          <w:lang w:val="en-GB" w:eastAsia="ja-JP"/>
        </w:rPr>
        <w:t>all</w:t>
      </w:r>
      <w:r>
        <w:rPr>
          <w:rFonts w:ascii="Arial" w:hAnsi="Arial"/>
          <w:lang w:val="en-GB" w:eastAsia="ja-JP"/>
        </w:rPr>
        <w:t xml:space="preserve"> the HARQ processes have outstanding blocks. In t</w:t>
      </w:r>
      <w:r w:rsidRPr="00D30644">
        <w:rPr>
          <w:rFonts w:ascii="Arial" w:hAnsi="Arial"/>
          <w:lang w:val="en-GB" w:eastAsia="ja-JP"/>
        </w:rPr>
        <w:t>his</w:t>
      </w:r>
      <w:r>
        <w:rPr>
          <w:rFonts w:ascii="Arial" w:hAnsi="Arial"/>
          <w:lang w:val="en-GB" w:eastAsia="ja-JP"/>
        </w:rPr>
        <w:t xml:space="preserve"> case, the throughput is calculated as a fraction of the throughput with a </w:t>
      </w:r>
      <w:proofErr w:type="gramStart"/>
      <w:r>
        <w:rPr>
          <w:rFonts w:ascii="Arial" w:hAnsi="Arial"/>
          <w:lang w:val="en-GB" w:eastAsia="ja-JP"/>
        </w:rPr>
        <w:t>sufficient number of</w:t>
      </w:r>
      <w:proofErr w:type="gramEnd"/>
      <w:r>
        <w:rPr>
          <w:rFonts w:ascii="Arial" w:hAnsi="Arial"/>
          <w:lang w:val="en-GB" w:eastAsia="ja-JP"/>
        </w:rPr>
        <w:t xml:space="preserve"> HARQ processes (e.g., if 32 HARQ processes are needed, the fraction is 16/32).</w:t>
      </w:r>
    </w:p>
    <w:p w14:paraId="441F006F" w14:textId="207558B7" w:rsidR="0084577D" w:rsidRDefault="0084577D" w:rsidP="0084577D">
      <w:pPr>
        <w:pStyle w:val="BodyText"/>
        <w:rPr>
          <w:lang w:val="en-GB" w:eastAsia="ja-JP"/>
        </w:rPr>
      </w:pPr>
      <w:r>
        <w:rPr>
          <w:lang w:val="en-GB" w:eastAsia="ja-JP"/>
        </w:rPr>
        <w:t xml:space="preserve">The simulation parameters are summarized in </w:t>
      </w:r>
      <w:r>
        <w:rPr>
          <w:lang w:val="en-GB" w:eastAsia="ja-JP"/>
        </w:rPr>
        <w:fldChar w:fldCharType="begin"/>
      </w:r>
      <w:r>
        <w:rPr>
          <w:lang w:val="en-GB" w:eastAsia="ja-JP"/>
        </w:rPr>
        <w:instrText xml:space="preserve"> REF _Ref20742967 \h </w:instrText>
      </w:r>
      <w:r>
        <w:rPr>
          <w:lang w:val="en-GB" w:eastAsia="ja-JP"/>
        </w:rPr>
      </w:r>
      <w:r>
        <w:rPr>
          <w:lang w:val="en-GB" w:eastAsia="ja-JP"/>
        </w:rPr>
        <w:fldChar w:fldCharType="separate"/>
      </w:r>
      <w:r w:rsidR="00F46034">
        <w:t>Table 1</w:t>
      </w:r>
      <w:r>
        <w:rPr>
          <w:lang w:val="en-GB" w:eastAsia="ja-JP"/>
        </w:rPr>
        <w:fldChar w:fldCharType="end"/>
      </w:r>
      <w:r>
        <w:rPr>
          <w:lang w:val="en-GB" w:eastAsia="ja-JP"/>
        </w:rPr>
        <w:t>.</w:t>
      </w:r>
    </w:p>
    <w:p w14:paraId="746084ED" w14:textId="468FC6DA" w:rsidR="0084577D" w:rsidRPr="000606C6" w:rsidDel="002C663B" w:rsidRDefault="0084577D" w:rsidP="0084577D">
      <w:pPr>
        <w:pStyle w:val="Caption"/>
        <w:jc w:val="center"/>
        <w:rPr>
          <w:rFonts w:ascii="Arial" w:hAnsi="Arial"/>
          <w:lang w:val="en-GB" w:eastAsia="ja-JP"/>
        </w:rPr>
      </w:pPr>
      <w:bookmarkStart w:id="19" w:name="_Ref20742967"/>
      <w:r>
        <w:t xml:space="preserve">Table </w:t>
      </w:r>
      <w:r>
        <w:fldChar w:fldCharType="begin"/>
      </w:r>
      <w:r>
        <w:instrText>SEQ Table \* ARABIC</w:instrText>
      </w:r>
      <w:r>
        <w:fldChar w:fldCharType="separate"/>
      </w:r>
      <w:r w:rsidR="00F46034">
        <w:rPr>
          <w:noProof/>
        </w:rPr>
        <w:t>1</w:t>
      </w:r>
      <w:r>
        <w:fldChar w:fldCharType="end"/>
      </w:r>
      <w:bookmarkEnd w:id="19"/>
      <w:r>
        <w:t xml:space="preserve">: </w:t>
      </w:r>
      <w:r w:rsidRPr="000606C6">
        <w:t>Link level simulation parameters</w:t>
      </w:r>
    </w:p>
    <w:tbl>
      <w:tblPr>
        <w:tblStyle w:val="TableGrid"/>
        <w:tblW w:w="7890" w:type="dxa"/>
        <w:jc w:val="center"/>
        <w:tblLook w:val="04A0" w:firstRow="1" w:lastRow="0" w:firstColumn="1" w:lastColumn="0" w:noHBand="0" w:noVBand="1"/>
      </w:tblPr>
      <w:tblGrid>
        <w:gridCol w:w="3235"/>
        <w:gridCol w:w="4655"/>
      </w:tblGrid>
      <w:tr w:rsidR="0084577D" w14:paraId="4D920004" w14:textId="77777777" w:rsidTr="009A4DB2">
        <w:trPr>
          <w:jc w:val="center"/>
        </w:trPr>
        <w:tc>
          <w:tcPr>
            <w:tcW w:w="3235" w:type="dxa"/>
            <w:shd w:val="clear" w:color="auto" w:fill="D9D9D9" w:themeFill="background1" w:themeFillShade="D9"/>
            <w:vAlign w:val="center"/>
          </w:tcPr>
          <w:p w14:paraId="35D879CD" w14:textId="77777777" w:rsidR="0084577D" w:rsidRPr="000C6201" w:rsidRDefault="0084577D" w:rsidP="009A4DB2">
            <w:pPr>
              <w:jc w:val="both"/>
              <w:rPr>
                <w:rFonts w:ascii="Arial" w:hAnsi="Arial"/>
                <w:lang w:val="en-GB" w:eastAsia="ja-JP"/>
              </w:rPr>
            </w:pPr>
            <w:r w:rsidRPr="000C6201">
              <w:rPr>
                <w:rFonts w:ascii="Arial" w:hAnsi="Arial"/>
              </w:rPr>
              <w:t>Carrier frequency</w:t>
            </w:r>
          </w:p>
        </w:tc>
        <w:tc>
          <w:tcPr>
            <w:tcW w:w="4655" w:type="dxa"/>
          </w:tcPr>
          <w:p w14:paraId="4CC57122" w14:textId="77777777" w:rsidR="0084577D" w:rsidRPr="000C6201" w:rsidRDefault="0084577D" w:rsidP="009A4DB2">
            <w:pPr>
              <w:jc w:val="both"/>
              <w:rPr>
                <w:rFonts w:ascii="Arial" w:hAnsi="Arial"/>
                <w:lang w:val="en-GB" w:eastAsia="ja-JP"/>
              </w:rPr>
            </w:pPr>
            <w:r w:rsidRPr="000C6201">
              <w:rPr>
                <w:rFonts w:ascii="Arial" w:hAnsi="Arial"/>
                <w:lang w:val="en-GB" w:eastAsia="ja-JP"/>
              </w:rPr>
              <w:t>2 GHz</w:t>
            </w:r>
          </w:p>
        </w:tc>
      </w:tr>
      <w:tr w:rsidR="0084577D" w14:paraId="2F0FF1CA" w14:textId="77777777" w:rsidTr="009A4DB2">
        <w:trPr>
          <w:jc w:val="center"/>
        </w:trPr>
        <w:tc>
          <w:tcPr>
            <w:tcW w:w="3235" w:type="dxa"/>
            <w:shd w:val="clear" w:color="auto" w:fill="D9D9D9" w:themeFill="background1" w:themeFillShade="D9"/>
            <w:vAlign w:val="center"/>
          </w:tcPr>
          <w:p w14:paraId="75176B0C" w14:textId="77777777" w:rsidR="0084577D" w:rsidRPr="000C6201" w:rsidRDefault="0084577D" w:rsidP="009A4DB2">
            <w:pPr>
              <w:jc w:val="both"/>
              <w:rPr>
                <w:rFonts w:ascii="Arial" w:hAnsi="Arial"/>
              </w:rPr>
            </w:pPr>
            <w:r w:rsidRPr="000C6201">
              <w:rPr>
                <w:rFonts w:ascii="Arial" w:hAnsi="Arial"/>
              </w:rPr>
              <w:t>Subcarrier spacing</w:t>
            </w:r>
          </w:p>
        </w:tc>
        <w:tc>
          <w:tcPr>
            <w:tcW w:w="4655" w:type="dxa"/>
          </w:tcPr>
          <w:p w14:paraId="1E72A425" w14:textId="77777777" w:rsidR="0084577D" w:rsidRPr="000C6201" w:rsidRDefault="0084577D" w:rsidP="009A4DB2">
            <w:pPr>
              <w:jc w:val="both"/>
              <w:rPr>
                <w:rFonts w:ascii="Arial" w:hAnsi="Arial"/>
                <w:lang w:val="en-GB" w:eastAsia="ja-JP"/>
              </w:rPr>
            </w:pPr>
            <w:r w:rsidRPr="000C6201">
              <w:rPr>
                <w:rFonts w:ascii="Arial" w:hAnsi="Arial"/>
                <w:lang w:val="en-GB" w:eastAsia="ja-JP"/>
              </w:rPr>
              <w:t>15 kHz</w:t>
            </w:r>
          </w:p>
        </w:tc>
      </w:tr>
      <w:tr w:rsidR="0084577D" w14:paraId="48C605BB" w14:textId="77777777" w:rsidTr="009A4DB2">
        <w:trPr>
          <w:jc w:val="center"/>
        </w:trPr>
        <w:tc>
          <w:tcPr>
            <w:tcW w:w="3235" w:type="dxa"/>
            <w:shd w:val="clear" w:color="auto" w:fill="D9D9D9" w:themeFill="background1" w:themeFillShade="D9"/>
            <w:vAlign w:val="center"/>
          </w:tcPr>
          <w:p w14:paraId="11BB9DC4" w14:textId="77777777" w:rsidR="0084577D" w:rsidRPr="000C6201" w:rsidRDefault="0084577D" w:rsidP="009A4DB2">
            <w:pPr>
              <w:jc w:val="both"/>
              <w:rPr>
                <w:rFonts w:ascii="Arial" w:hAnsi="Arial"/>
              </w:rPr>
            </w:pPr>
            <w:r w:rsidRPr="000C6201">
              <w:rPr>
                <w:rFonts w:ascii="Arial" w:hAnsi="Arial"/>
              </w:rPr>
              <w:t>UE speed</w:t>
            </w:r>
          </w:p>
        </w:tc>
        <w:tc>
          <w:tcPr>
            <w:tcW w:w="4655" w:type="dxa"/>
          </w:tcPr>
          <w:p w14:paraId="65A01156" w14:textId="77777777" w:rsidR="0084577D" w:rsidRPr="000C6201" w:rsidRDefault="0084577D" w:rsidP="009A4DB2">
            <w:pPr>
              <w:jc w:val="both"/>
              <w:rPr>
                <w:rFonts w:ascii="Arial" w:hAnsi="Arial"/>
                <w:lang w:val="en-GB" w:eastAsia="ja-JP"/>
              </w:rPr>
            </w:pPr>
            <w:r w:rsidRPr="000C6201">
              <w:rPr>
                <w:rFonts w:ascii="Arial" w:hAnsi="Arial"/>
                <w:lang w:val="en-GB" w:eastAsia="ja-JP"/>
              </w:rPr>
              <w:t>3 km/h</w:t>
            </w:r>
          </w:p>
        </w:tc>
      </w:tr>
      <w:tr w:rsidR="0084577D" w:rsidRPr="008A5A04" w14:paraId="0D39D0FC" w14:textId="77777777" w:rsidTr="009A4DB2">
        <w:trPr>
          <w:jc w:val="center"/>
        </w:trPr>
        <w:tc>
          <w:tcPr>
            <w:tcW w:w="3235" w:type="dxa"/>
            <w:shd w:val="clear" w:color="auto" w:fill="D9D9D9" w:themeFill="background1" w:themeFillShade="D9"/>
            <w:vAlign w:val="center"/>
          </w:tcPr>
          <w:p w14:paraId="6FD6A994" w14:textId="77777777" w:rsidR="0084577D" w:rsidRPr="000C6201" w:rsidRDefault="0084577D" w:rsidP="009A4DB2">
            <w:pPr>
              <w:jc w:val="both"/>
              <w:rPr>
                <w:rFonts w:ascii="Arial" w:hAnsi="Arial"/>
              </w:rPr>
            </w:pPr>
            <w:r w:rsidRPr="000C6201">
              <w:rPr>
                <w:rFonts w:ascii="Arial" w:hAnsi="Arial"/>
              </w:rPr>
              <w:t>Channel model</w:t>
            </w:r>
          </w:p>
        </w:tc>
        <w:tc>
          <w:tcPr>
            <w:tcW w:w="4655" w:type="dxa"/>
          </w:tcPr>
          <w:p w14:paraId="19347A05" w14:textId="77777777" w:rsidR="0084577D" w:rsidRPr="000C6201" w:rsidRDefault="0084577D" w:rsidP="009A4DB2">
            <w:pPr>
              <w:jc w:val="both"/>
              <w:rPr>
                <w:rFonts w:ascii="Arial" w:hAnsi="Arial"/>
                <w:lang w:val="en-GB" w:eastAsia="ja-JP"/>
              </w:rPr>
            </w:pPr>
            <w:r w:rsidRPr="000C6201">
              <w:rPr>
                <w:rFonts w:ascii="Arial" w:hAnsi="Arial"/>
                <w:lang w:val="en-GB" w:eastAsia="ja-JP"/>
              </w:rPr>
              <w:t>NTN-TDL-D, suburban, 30° elevation angle</w:t>
            </w:r>
          </w:p>
        </w:tc>
      </w:tr>
      <w:tr w:rsidR="0084577D" w14:paraId="5DC28DC5" w14:textId="77777777" w:rsidTr="009A4DB2">
        <w:trPr>
          <w:jc w:val="center"/>
        </w:trPr>
        <w:tc>
          <w:tcPr>
            <w:tcW w:w="3235" w:type="dxa"/>
            <w:shd w:val="clear" w:color="auto" w:fill="D9D9D9" w:themeFill="background1" w:themeFillShade="D9"/>
            <w:vAlign w:val="center"/>
          </w:tcPr>
          <w:p w14:paraId="7E130BBD" w14:textId="77777777" w:rsidR="0084577D" w:rsidRPr="000C6201" w:rsidRDefault="0084577D" w:rsidP="009A4DB2">
            <w:pPr>
              <w:rPr>
                <w:rFonts w:ascii="Arial" w:hAnsi="Arial"/>
              </w:rPr>
            </w:pPr>
            <w:r>
              <w:rPr>
                <w:rFonts w:ascii="Arial" w:hAnsi="Arial"/>
              </w:rPr>
              <w:t>S</w:t>
            </w:r>
            <w:r w:rsidRPr="000C6201">
              <w:rPr>
                <w:rFonts w:ascii="Arial" w:hAnsi="Arial"/>
              </w:rPr>
              <w:t>atellite antenna configuration</w:t>
            </w:r>
          </w:p>
        </w:tc>
        <w:tc>
          <w:tcPr>
            <w:tcW w:w="4655" w:type="dxa"/>
          </w:tcPr>
          <w:p w14:paraId="3BB65AB4" w14:textId="77777777" w:rsidR="0084577D" w:rsidRPr="000C6201" w:rsidRDefault="0084577D" w:rsidP="009A4DB2">
            <w:pPr>
              <w:jc w:val="both"/>
              <w:rPr>
                <w:rFonts w:ascii="Arial" w:hAnsi="Arial"/>
                <w:lang w:val="en-GB" w:eastAsia="ja-JP"/>
              </w:rPr>
            </w:pPr>
            <w:r w:rsidRPr="000C6201">
              <w:rPr>
                <w:rFonts w:ascii="Arial" w:hAnsi="Arial"/>
                <w:lang w:val="en-GB" w:eastAsia="ja-JP"/>
              </w:rPr>
              <w:t>1 Tx</w:t>
            </w:r>
          </w:p>
        </w:tc>
      </w:tr>
      <w:tr w:rsidR="0084577D" w:rsidRPr="008A5A04" w14:paraId="2EACA4DF" w14:textId="77777777" w:rsidTr="009A4DB2">
        <w:trPr>
          <w:jc w:val="center"/>
        </w:trPr>
        <w:tc>
          <w:tcPr>
            <w:tcW w:w="3235" w:type="dxa"/>
            <w:shd w:val="clear" w:color="auto" w:fill="D9D9D9" w:themeFill="background1" w:themeFillShade="D9"/>
            <w:vAlign w:val="center"/>
          </w:tcPr>
          <w:p w14:paraId="0BC5AB5E" w14:textId="77777777" w:rsidR="0084577D" w:rsidRPr="000C6201" w:rsidDel="00F91953" w:rsidRDefault="0084577D" w:rsidP="009A4DB2">
            <w:pPr>
              <w:jc w:val="both"/>
              <w:rPr>
                <w:rFonts w:ascii="Arial" w:hAnsi="Arial"/>
              </w:rPr>
            </w:pPr>
            <w:r w:rsidRPr="000C6201">
              <w:rPr>
                <w:rFonts w:ascii="Arial" w:hAnsi="Arial"/>
              </w:rPr>
              <w:t>UE antenna configuration</w:t>
            </w:r>
          </w:p>
        </w:tc>
        <w:tc>
          <w:tcPr>
            <w:tcW w:w="4655" w:type="dxa"/>
          </w:tcPr>
          <w:p w14:paraId="394BDEBC" w14:textId="77777777" w:rsidR="0084577D" w:rsidRPr="008A5A04" w:rsidRDefault="0084577D" w:rsidP="009A4DB2">
            <w:pPr>
              <w:jc w:val="both"/>
              <w:rPr>
                <w:rFonts w:ascii="Arial" w:hAnsi="Arial"/>
                <w:lang w:eastAsia="ja-JP"/>
              </w:rPr>
            </w:pPr>
            <w:r w:rsidRPr="008A5A04">
              <w:rPr>
                <w:rFonts w:ascii="Arial" w:hAnsi="Arial"/>
                <w:lang w:eastAsia="ja-JP"/>
              </w:rPr>
              <w:t>(1, 1, 2) with omni-directional antenna element</w:t>
            </w:r>
          </w:p>
        </w:tc>
      </w:tr>
      <w:tr w:rsidR="0084577D" w14:paraId="6AF68C9D" w14:textId="77777777" w:rsidTr="009A4DB2">
        <w:trPr>
          <w:jc w:val="center"/>
        </w:trPr>
        <w:tc>
          <w:tcPr>
            <w:tcW w:w="3235" w:type="dxa"/>
            <w:shd w:val="clear" w:color="auto" w:fill="D9D9D9" w:themeFill="background1" w:themeFillShade="D9"/>
            <w:vAlign w:val="center"/>
          </w:tcPr>
          <w:p w14:paraId="303DB8EF" w14:textId="77777777" w:rsidR="0084577D" w:rsidRPr="000C6201" w:rsidRDefault="0084577D" w:rsidP="009A4DB2">
            <w:pPr>
              <w:jc w:val="both"/>
              <w:rPr>
                <w:rFonts w:ascii="Arial" w:hAnsi="Arial"/>
              </w:rPr>
            </w:pPr>
            <w:r>
              <w:rPr>
                <w:rFonts w:ascii="Arial" w:hAnsi="Arial"/>
              </w:rPr>
              <w:lastRenderedPageBreak/>
              <w:t>RTT</w:t>
            </w:r>
          </w:p>
        </w:tc>
        <w:tc>
          <w:tcPr>
            <w:tcW w:w="4655" w:type="dxa"/>
          </w:tcPr>
          <w:p w14:paraId="4AEC6BF6" w14:textId="77777777" w:rsidR="0084577D" w:rsidRPr="000C6201" w:rsidRDefault="0084577D" w:rsidP="009A4DB2">
            <w:pPr>
              <w:jc w:val="both"/>
              <w:rPr>
                <w:rFonts w:ascii="Arial" w:hAnsi="Arial"/>
                <w:lang w:eastAsia="ja-JP"/>
              </w:rPr>
            </w:pPr>
            <w:r>
              <w:rPr>
                <w:rFonts w:ascii="Arial" w:hAnsi="Arial"/>
                <w:lang w:eastAsia="ja-JP"/>
              </w:rPr>
              <w:t xml:space="preserve">{32, 64, 128, 256} </w:t>
            </w:r>
            <w:proofErr w:type="spellStart"/>
            <w:r>
              <w:rPr>
                <w:rFonts w:ascii="Arial" w:hAnsi="Arial"/>
                <w:lang w:eastAsia="ja-JP"/>
              </w:rPr>
              <w:t>ms</w:t>
            </w:r>
            <w:proofErr w:type="spellEnd"/>
          </w:p>
        </w:tc>
      </w:tr>
      <w:tr w:rsidR="0084577D" w14:paraId="35E4386C" w14:textId="77777777" w:rsidTr="009A4DB2">
        <w:trPr>
          <w:jc w:val="center"/>
        </w:trPr>
        <w:tc>
          <w:tcPr>
            <w:tcW w:w="3235" w:type="dxa"/>
            <w:shd w:val="clear" w:color="auto" w:fill="D9D9D9" w:themeFill="background1" w:themeFillShade="D9"/>
            <w:vAlign w:val="center"/>
          </w:tcPr>
          <w:p w14:paraId="0F7D517C" w14:textId="70CBE2BE" w:rsidR="0084577D" w:rsidRDefault="0084577D" w:rsidP="009A4DB2">
            <w:pPr>
              <w:jc w:val="both"/>
              <w:rPr>
                <w:rFonts w:ascii="Arial" w:hAnsi="Arial"/>
              </w:rPr>
            </w:pPr>
            <w:r>
              <w:rPr>
                <w:rFonts w:ascii="Arial" w:hAnsi="Arial"/>
              </w:rPr>
              <w:t>Bandwid</w:t>
            </w:r>
            <w:r w:rsidR="0073075A">
              <w:rPr>
                <w:rFonts w:ascii="Arial" w:hAnsi="Arial"/>
              </w:rPr>
              <w:t>t</w:t>
            </w:r>
            <w:r>
              <w:rPr>
                <w:rFonts w:ascii="Arial" w:hAnsi="Arial"/>
              </w:rPr>
              <w:t>h</w:t>
            </w:r>
          </w:p>
        </w:tc>
        <w:tc>
          <w:tcPr>
            <w:tcW w:w="4655" w:type="dxa"/>
          </w:tcPr>
          <w:p w14:paraId="55ABABA2" w14:textId="77777777" w:rsidR="0084577D" w:rsidRDefault="0084577D" w:rsidP="009A4DB2">
            <w:pPr>
              <w:jc w:val="both"/>
              <w:rPr>
                <w:rFonts w:ascii="Arial" w:hAnsi="Arial"/>
                <w:lang w:eastAsia="ja-JP"/>
              </w:rPr>
            </w:pPr>
            <w:r>
              <w:rPr>
                <w:rFonts w:ascii="Arial" w:hAnsi="Arial"/>
                <w:lang w:eastAsia="ja-JP"/>
              </w:rPr>
              <w:t>52 PRBs</w:t>
            </w:r>
          </w:p>
        </w:tc>
      </w:tr>
      <w:tr w:rsidR="0084577D" w:rsidRPr="0034433D" w14:paraId="62F5418C" w14:textId="77777777" w:rsidTr="009A4DB2">
        <w:trPr>
          <w:jc w:val="center"/>
        </w:trPr>
        <w:tc>
          <w:tcPr>
            <w:tcW w:w="3235" w:type="dxa"/>
            <w:shd w:val="clear" w:color="auto" w:fill="D9D9D9" w:themeFill="background1" w:themeFillShade="D9"/>
            <w:vAlign w:val="center"/>
          </w:tcPr>
          <w:p w14:paraId="0F556785" w14:textId="77777777" w:rsidR="0084577D" w:rsidRDefault="0084577D" w:rsidP="009A4DB2">
            <w:pPr>
              <w:jc w:val="both"/>
              <w:rPr>
                <w:rFonts w:ascii="Arial" w:hAnsi="Arial"/>
              </w:rPr>
            </w:pPr>
            <w:r>
              <w:rPr>
                <w:rFonts w:ascii="Arial" w:hAnsi="Arial"/>
              </w:rPr>
              <w:t>Target BLER</w:t>
            </w:r>
          </w:p>
        </w:tc>
        <w:tc>
          <w:tcPr>
            <w:tcW w:w="4655" w:type="dxa"/>
          </w:tcPr>
          <w:p w14:paraId="5A711C73" w14:textId="77777777" w:rsidR="0084577D" w:rsidRPr="008A5A04" w:rsidRDefault="0084577D" w:rsidP="009A4DB2">
            <w:pPr>
              <w:jc w:val="both"/>
              <w:rPr>
                <w:rFonts w:ascii="Arial" w:hAnsi="Arial"/>
                <w:lang w:eastAsia="ja-JP"/>
              </w:rPr>
            </w:pPr>
            <w:r w:rsidRPr="008A5A04">
              <w:rPr>
                <w:rFonts w:ascii="Arial" w:hAnsi="Arial"/>
                <w:lang w:eastAsia="ja-JP"/>
              </w:rPr>
              <w:t>HARQ disabled: 1%</w:t>
            </w:r>
          </w:p>
          <w:p w14:paraId="405D5E64" w14:textId="77777777" w:rsidR="0084577D" w:rsidRPr="008A5A04" w:rsidRDefault="0084577D" w:rsidP="009A4DB2">
            <w:pPr>
              <w:jc w:val="both"/>
              <w:rPr>
                <w:rFonts w:ascii="Arial" w:hAnsi="Arial"/>
                <w:lang w:eastAsia="ja-JP"/>
              </w:rPr>
            </w:pPr>
            <w:r w:rsidRPr="008A5A04">
              <w:rPr>
                <w:rFonts w:ascii="Arial" w:hAnsi="Arial"/>
                <w:lang w:eastAsia="ja-JP"/>
              </w:rPr>
              <w:t>HARQ enabled:</w:t>
            </w:r>
          </w:p>
          <w:p w14:paraId="58FAEA68" w14:textId="77777777" w:rsidR="0084577D" w:rsidRPr="008A5A04" w:rsidRDefault="0084577D" w:rsidP="009A4DB2">
            <w:pPr>
              <w:jc w:val="both"/>
              <w:rPr>
                <w:rFonts w:ascii="Arial" w:hAnsi="Arial"/>
                <w:lang w:eastAsia="ja-JP"/>
              </w:rPr>
            </w:pPr>
            <w:r w:rsidRPr="008A5A04">
              <w:rPr>
                <w:rFonts w:ascii="Arial" w:hAnsi="Arial"/>
                <w:lang w:eastAsia="ja-JP"/>
              </w:rPr>
              <w:tab/>
              <w:t>a) 1%</w:t>
            </w:r>
          </w:p>
          <w:p w14:paraId="2CFF8DF2" w14:textId="77777777" w:rsidR="0084577D" w:rsidRPr="0034433D" w:rsidRDefault="0084577D" w:rsidP="009A4DB2">
            <w:pPr>
              <w:jc w:val="both"/>
              <w:rPr>
                <w:rFonts w:ascii="Arial" w:hAnsi="Arial"/>
                <w:lang w:eastAsia="ja-JP"/>
              </w:rPr>
            </w:pPr>
            <w:r w:rsidRPr="008A5A04">
              <w:rPr>
                <w:rFonts w:ascii="Arial" w:hAnsi="Arial"/>
                <w:lang w:eastAsia="ja-JP"/>
              </w:rPr>
              <w:tab/>
            </w:r>
            <w:r>
              <w:rPr>
                <w:rFonts w:ascii="Arial" w:hAnsi="Arial"/>
                <w:lang w:eastAsia="ja-JP"/>
              </w:rPr>
              <w:t>b) 1</w:t>
            </w:r>
            <w:r w:rsidRPr="0034433D">
              <w:rPr>
                <w:rFonts w:ascii="Arial" w:hAnsi="Arial"/>
                <w:lang w:eastAsia="ja-JP"/>
              </w:rPr>
              <w:t>0%</w:t>
            </w:r>
          </w:p>
        </w:tc>
      </w:tr>
    </w:tbl>
    <w:p w14:paraId="75E08062" w14:textId="77777777" w:rsidR="0084577D" w:rsidRDefault="0084577D" w:rsidP="0084577D">
      <w:pPr>
        <w:pStyle w:val="BodyText"/>
        <w:rPr>
          <w:lang w:val="en-GB" w:eastAsia="ja-JP"/>
        </w:rPr>
      </w:pPr>
    </w:p>
    <w:p w14:paraId="40AA185A" w14:textId="144DAB5E" w:rsidR="0084577D" w:rsidRDefault="0084577D" w:rsidP="0084577D">
      <w:pPr>
        <w:pStyle w:val="BodyText"/>
        <w:rPr>
          <w:lang w:val="en-GB" w:eastAsia="ja-JP"/>
        </w:rPr>
      </w:pPr>
      <w:r>
        <w:rPr>
          <w:lang w:val="en-GB" w:eastAsia="ja-JP"/>
        </w:rPr>
        <w:t xml:space="preserve">The throughput versus SNR for an RTT of 32 </w:t>
      </w:r>
      <w:proofErr w:type="spellStart"/>
      <w:r>
        <w:rPr>
          <w:lang w:val="en-GB" w:eastAsia="ja-JP"/>
        </w:rPr>
        <w:t>ms</w:t>
      </w:r>
      <w:proofErr w:type="spellEnd"/>
      <w:r>
        <w:rPr>
          <w:lang w:val="en-GB" w:eastAsia="ja-JP"/>
        </w:rPr>
        <w:t xml:space="preserve"> is shown in </w:t>
      </w:r>
      <w:r>
        <w:rPr>
          <w:lang w:val="en-GB" w:eastAsia="ja-JP"/>
        </w:rPr>
        <w:fldChar w:fldCharType="begin"/>
      </w:r>
      <w:r>
        <w:rPr>
          <w:lang w:val="en-GB" w:eastAsia="ja-JP"/>
        </w:rPr>
        <w:instrText xml:space="preserve"> REF _Ref20744690 \h </w:instrText>
      </w:r>
      <w:r>
        <w:rPr>
          <w:lang w:val="en-GB" w:eastAsia="ja-JP"/>
        </w:rPr>
      </w:r>
      <w:r>
        <w:rPr>
          <w:lang w:val="en-GB" w:eastAsia="ja-JP"/>
        </w:rPr>
        <w:fldChar w:fldCharType="separate"/>
      </w:r>
      <w:r w:rsidR="00F46034" w:rsidRPr="008A5A04">
        <w:t xml:space="preserve">Figure </w:t>
      </w:r>
      <w:r w:rsidR="00F46034">
        <w:t>3</w:t>
      </w:r>
      <w:r>
        <w:rPr>
          <w:lang w:val="en-GB" w:eastAsia="ja-JP"/>
        </w:rPr>
        <w:fldChar w:fldCharType="end"/>
      </w:r>
      <w:r>
        <w:rPr>
          <w:lang w:val="en-GB" w:eastAsia="ja-JP"/>
        </w:rPr>
        <w:t xml:space="preserve">. </w:t>
      </w:r>
    </w:p>
    <w:p w14:paraId="58750C23" w14:textId="77777777" w:rsidR="0084577D" w:rsidRDefault="0084577D" w:rsidP="0084577D">
      <w:pPr>
        <w:pStyle w:val="BodyText"/>
        <w:numPr>
          <w:ilvl w:val="0"/>
          <w:numId w:val="49"/>
        </w:numPr>
        <w:rPr>
          <w:lang w:val="en-GB" w:eastAsia="ja-JP"/>
        </w:rPr>
      </w:pPr>
      <w:r>
        <w:rPr>
          <w:lang w:val="en-GB" w:eastAsia="ja-JP"/>
        </w:rPr>
        <w:t>As expected, the throughput with HARQ feedback enabled and 1% BLER target is almost identical to the throughput with HARQ feedback disabled (RLC ARQ only) and 1% BLER target. This is expected since when only (less than) 1% of the blocks are erroneous, only (less than) 1% of the blocks will benefit from code combining when HARQ is enabled.</w:t>
      </w:r>
    </w:p>
    <w:p w14:paraId="1D5F7395" w14:textId="6DD03893" w:rsidR="0084577D" w:rsidRDefault="0084577D" w:rsidP="0084577D">
      <w:pPr>
        <w:pStyle w:val="BodyText"/>
        <w:numPr>
          <w:ilvl w:val="0"/>
          <w:numId w:val="49"/>
        </w:numPr>
        <w:rPr>
          <w:lang w:val="en-GB" w:eastAsia="ja-JP"/>
        </w:rPr>
      </w:pPr>
      <w:r>
        <w:rPr>
          <w:lang w:val="en-GB" w:eastAsia="ja-JP"/>
        </w:rPr>
        <w:t xml:space="preserve">A link adaptation scheme with a BLER target of 10% is also evaluated for the case of HARQ enabled. The throughput with this scheme is also shown in </w:t>
      </w:r>
      <w:r>
        <w:rPr>
          <w:lang w:val="en-GB" w:eastAsia="ja-JP"/>
        </w:rPr>
        <w:fldChar w:fldCharType="begin"/>
      </w:r>
      <w:r>
        <w:rPr>
          <w:lang w:val="en-GB" w:eastAsia="ja-JP"/>
        </w:rPr>
        <w:instrText xml:space="preserve"> REF _Ref20744690 \h </w:instrText>
      </w:r>
      <w:r>
        <w:rPr>
          <w:lang w:val="en-GB" w:eastAsia="ja-JP"/>
        </w:rPr>
      </w:r>
      <w:r>
        <w:rPr>
          <w:lang w:val="en-GB" w:eastAsia="ja-JP"/>
        </w:rPr>
        <w:fldChar w:fldCharType="separate"/>
      </w:r>
      <w:r w:rsidR="00F46034" w:rsidRPr="008A5A04">
        <w:t xml:space="preserve">Figure </w:t>
      </w:r>
      <w:r w:rsidR="00F46034">
        <w:t>3</w:t>
      </w:r>
      <w:r>
        <w:rPr>
          <w:lang w:val="en-GB" w:eastAsia="ja-JP"/>
        </w:rPr>
        <w:fldChar w:fldCharType="end"/>
      </w:r>
      <w:r>
        <w:rPr>
          <w:lang w:val="en-GB" w:eastAsia="ja-JP"/>
        </w:rPr>
        <w:t xml:space="preserve">. </w:t>
      </w:r>
      <w:proofErr w:type="gramStart"/>
      <w:r>
        <w:rPr>
          <w:lang w:val="en-GB" w:eastAsia="ja-JP"/>
        </w:rPr>
        <w:t>It is clear that the</w:t>
      </w:r>
      <w:proofErr w:type="gramEnd"/>
      <w:r>
        <w:rPr>
          <w:lang w:val="en-GB" w:eastAsia="ja-JP"/>
        </w:rPr>
        <w:t xml:space="preserve"> increased BLER target has a negligible impact on throughput.</w:t>
      </w:r>
    </w:p>
    <w:p w14:paraId="71E1DEF0" w14:textId="77777777" w:rsidR="0084577D" w:rsidRDefault="0084577D" w:rsidP="0084577D">
      <w:pPr>
        <w:pStyle w:val="BodyText"/>
        <w:numPr>
          <w:ilvl w:val="0"/>
          <w:numId w:val="49"/>
        </w:numPr>
        <w:rPr>
          <w:lang w:val="en-GB" w:eastAsia="ja-JP"/>
        </w:rPr>
      </w:pPr>
      <w:r>
        <w:rPr>
          <w:lang w:val="en-GB" w:eastAsia="ja-JP"/>
        </w:rPr>
        <w:t>All three schemes give significantly higher throughput than HARQ with 16 processes.</w:t>
      </w:r>
    </w:p>
    <w:p w14:paraId="013285CB" w14:textId="77777777" w:rsidR="0084577D" w:rsidRDefault="0084577D" w:rsidP="0084577D">
      <w:pPr>
        <w:pStyle w:val="BodyText"/>
        <w:rPr>
          <w:lang w:val="en-GB" w:eastAsia="ja-JP"/>
        </w:rPr>
      </w:pPr>
    </w:p>
    <w:p w14:paraId="0A435FBE" w14:textId="77777777" w:rsidR="0084577D" w:rsidRPr="00CF7375" w:rsidRDefault="0084577D" w:rsidP="0084577D">
      <w:pPr>
        <w:pStyle w:val="BodyText"/>
        <w:keepNext/>
        <w:jc w:val="center"/>
        <w:rPr>
          <w:lang w:val="en-GB"/>
        </w:rPr>
      </w:pPr>
      <w:r>
        <w:rPr>
          <w:noProof/>
          <w:lang w:val="en-GB"/>
        </w:rPr>
        <w:drawing>
          <wp:inline distT="0" distB="0" distL="0" distR="0" wp14:anchorId="2DAFFA2E" wp14:editId="531D8CE1">
            <wp:extent cx="5040000" cy="3312000"/>
            <wp:effectExtent l="0" t="0" r="825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p_HARQnoHARQ_1_10_32_TDL_D_ideal_1000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4C938A27" w14:textId="66DD890A" w:rsidR="0084577D" w:rsidRPr="001D11A4" w:rsidRDefault="0084577D" w:rsidP="001D11A4">
      <w:pPr>
        <w:pStyle w:val="Caption"/>
        <w:jc w:val="center"/>
      </w:pPr>
      <w:bookmarkStart w:id="20" w:name="_Ref20744690"/>
      <w:r w:rsidRPr="008A5A04">
        <w:t xml:space="preserve">Figure </w:t>
      </w:r>
      <w:r>
        <w:fldChar w:fldCharType="begin"/>
      </w:r>
      <w:r w:rsidRPr="008A5A04">
        <w:instrText xml:space="preserve"> SEQ Figure \* ARABIC </w:instrText>
      </w:r>
      <w:r>
        <w:fldChar w:fldCharType="separate"/>
      </w:r>
      <w:r w:rsidR="00F46034">
        <w:t>3</w:t>
      </w:r>
      <w:r>
        <w:fldChar w:fldCharType="end"/>
      </w:r>
      <w:bookmarkEnd w:id="20"/>
      <w:r w:rsidRPr="008A5A04">
        <w:t xml:space="preserve">: Downlink throughput versus SNR for RTT = 32 </w:t>
      </w:r>
      <w:proofErr w:type="spellStart"/>
      <w:r w:rsidRPr="008A5A04">
        <w:t>ms.</w:t>
      </w:r>
      <w:proofErr w:type="spellEnd"/>
    </w:p>
    <w:p w14:paraId="0C2AB536" w14:textId="697717EC" w:rsidR="0084577D" w:rsidRPr="00AF4939" w:rsidRDefault="0084577D" w:rsidP="001D11A4">
      <w:pPr>
        <w:jc w:val="both"/>
        <w:rPr>
          <w:rFonts w:ascii="Arial" w:hAnsi="Arial" w:cs="Arial"/>
          <w:lang w:eastAsia="ja-JP"/>
        </w:rPr>
      </w:pPr>
      <w:r w:rsidRPr="00AF4939">
        <w:rPr>
          <w:rFonts w:ascii="Arial" w:hAnsi="Arial" w:cs="Arial"/>
          <w:lang w:eastAsia="ja-JP"/>
        </w:rPr>
        <w:t xml:space="preserve">Similar results for RTT of 64, 128 and 256 </w:t>
      </w:r>
      <w:proofErr w:type="spellStart"/>
      <w:r w:rsidRPr="00AF4939">
        <w:rPr>
          <w:rFonts w:ascii="Arial" w:hAnsi="Arial" w:cs="Arial"/>
          <w:lang w:eastAsia="ja-JP"/>
        </w:rPr>
        <w:t>ms</w:t>
      </w:r>
      <w:proofErr w:type="spellEnd"/>
      <w:r w:rsidRPr="00AF4939">
        <w:rPr>
          <w:rFonts w:ascii="Arial" w:hAnsi="Arial" w:cs="Arial"/>
          <w:lang w:eastAsia="ja-JP"/>
        </w:rPr>
        <w:t xml:space="preserve"> are shown in </w:t>
      </w:r>
      <w:r w:rsidRPr="00AF4939">
        <w:rPr>
          <w:rFonts w:ascii="Arial" w:hAnsi="Arial" w:cs="Arial"/>
          <w:lang w:eastAsia="ja-JP"/>
        </w:rPr>
        <w:fldChar w:fldCharType="begin"/>
      </w:r>
      <w:r w:rsidRPr="00AF4939">
        <w:rPr>
          <w:rFonts w:ascii="Arial" w:hAnsi="Arial" w:cs="Arial"/>
          <w:lang w:eastAsia="ja-JP"/>
        </w:rPr>
        <w:instrText xml:space="preserve"> REF _Ref20744912 \h  \* MERGEFORMAT </w:instrText>
      </w:r>
      <w:r w:rsidRPr="00AF4939">
        <w:rPr>
          <w:rFonts w:ascii="Arial" w:hAnsi="Arial" w:cs="Arial"/>
          <w:lang w:eastAsia="ja-JP"/>
        </w:rPr>
      </w:r>
      <w:r w:rsidRPr="00AF4939">
        <w:rPr>
          <w:rFonts w:ascii="Arial" w:hAnsi="Arial" w:cs="Arial"/>
          <w:lang w:eastAsia="ja-JP"/>
        </w:rPr>
        <w:fldChar w:fldCharType="separate"/>
      </w:r>
      <w:r w:rsidR="00F46034" w:rsidRPr="00BE6A5F">
        <w:rPr>
          <w:rFonts w:ascii="Arial" w:hAnsi="Arial" w:cs="Arial"/>
        </w:rPr>
        <w:t>Figure 4</w:t>
      </w:r>
      <w:r w:rsidRPr="00AF4939">
        <w:rPr>
          <w:rFonts w:ascii="Arial" w:hAnsi="Arial" w:cs="Arial"/>
          <w:lang w:eastAsia="ja-JP"/>
        </w:rPr>
        <w:fldChar w:fldCharType="end"/>
      </w:r>
      <w:r w:rsidRPr="00AF4939">
        <w:rPr>
          <w:rFonts w:ascii="Arial" w:hAnsi="Arial" w:cs="Arial"/>
          <w:lang w:eastAsia="ja-JP"/>
        </w:rPr>
        <w:t xml:space="preserve">, </w:t>
      </w:r>
      <w:r w:rsidRPr="00AF4939">
        <w:rPr>
          <w:rFonts w:ascii="Arial" w:hAnsi="Arial" w:cs="Arial"/>
          <w:lang w:eastAsia="ja-JP"/>
        </w:rPr>
        <w:fldChar w:fldCharType="begin"/>
      </w:r>
      <w:r w:rsidRPr="00AF4939">
        <w:rPr>
          <w:rFonts w:ascii="Arial" w:hAnsi="Arial" w:cs="Arial"/>
          <w:lang w:eastAsia="ja-JP"/>
        </w:rPr>
        <w:instrText xml:space="preserve"> REF _Ref20744914 \h  \* MERGEFORMAT </w:instrText>
      </w:r>
      <w:r w:rsidRPr="00AF4939">
        <w:rPr>
          <w:rFonts w:ascii="Arial" w:hAnsi="Arial" w:cs="Arial"/>
          <w:lang w:eastAsia="ja-JP"/>
        </w:rPr>
      </w:r>
      <w:r w:rsidRPr="00AF4939">
        <w:rPr>
          <w:rFonts w:ascii="Arial" w:hAnsi="Arial" w:cs="Arial"/>
          <w:lang w:eastAsia="ja-JP"/>
        </w:rPr>
        <w:fldChar w:fldCharType="separate"/>
      </w:r>
      <w:r w:rsidR="00F46034" w:rsidRPr="00BE6A5F">
        <w:rPr>
          <w:rFonts w:ascii="Arial" w:hAnsi="Arial" w:cs="Arial"/>
        </w:rPr>
        <w:t>Figure 5</w:t>
      </w:r>
      <w:r w:rsidRPr="00AF4939">
        <w:rPr>
          <w:rFonts w:ascii="Arial" w:hAnsi="Arial" w:cs="Arial"/>
          <w:lang w:eastAsia="ja-JP"/>
        </w:rPr>
        <w:fldChar w:fldCharType="end"/>
      </w:r>
      <w:r w:rsidRPr="00AF4939">
        <w:rPr>
          <w:rFonts w:ascii="Arial" w:hAnsi="Arial" w:cs="Arial"/>
          <w:lang w:eastAsia="ja-JP"/>
        </w:rPr>
        <w:t xml:space="preserve"> and </w:t>
      </w:r>
      <w:r w:rsidRPr="00AF4939">
        <w:rPr>
          <w:rFonts w:ascii="Arial" w:hAnsi="Arial" w:cs="Arial"/>
          <w:lang w:eastAsia="ja-JP"/>
        </w:rPr>
        <w:fldChar w:fldCharType="begin"/>
      </w:r>
      <w:r w:rsidRPr="00AF4939">
        <w:rPr>
          <w:rFonts w:ascii="Arial" w:hAnsi="Arial" w:cs="Arial"/>
          <w:lang w:eastAsia="ja-JP"/>
        </w:rPr>
        <w:instrText xml:space="preserve"> REF _Ref46464632 \h </w:instrText>
      </w:r>
      <w:r w:rsidR="00AF4939">
        <w:rPr>
          <w:rFonts w:ascii="Arial" w:hAnsi="Arial" w:cs="Arial"/>
          <w:lang w:eastAsia="ja-JP"/>
        </w:rPr>
        <w:instrText xml:space="preserve"> \* MERGEFORMAT </w:instrText>
      </w:r>
      <w:r w:rsidRPr="00AF4939">
        <w:rPr>
          <w:rFonts w:ascii="Arial" w:hAnsi="Arial" w:cs="Arial"/>
          <w:lang w:eastAsia="ja-JP"/>
        </w:rPr>
      </w:r>
      <w:r w:rsidRPr="00AF4939">
        <w:rPr>
          <w:rFonts w:ascii="Arial" w:hAnsi="Arial" w:cs="Arial"/>
          <w:lang w:eastAsia="ja-JP"/>
        </w:rPr>
        <w:fldChar w:fldCharType="separate"/>
      </w:r>
      <w:r w:rsidR="00F46034" w:rsidRPr="00BE6A5F">
        <w:rPr>
          <w:rFonts w:ascii="Arial" w:hAnsi="Arial" w:cs="Arial"/>
        </w:rPr>
        <w:t>Figure 6</w:t>
      </w:r>
      <w:r w:rsidRPr="00AF4939">
        <w:rPr>
          <w:rFonts w:ascii="Arial" w:hAnsi="Arial" w:cs="Arial"/>
          <w:lang w:eastAsia="ja-JP"/>
        </w:rPr>
        <w:fldChar w:fldCharType="end"/>
      </w:r>
      <w:r w:rsidRPr="00AF4939">
        <w:rPr>
          <w:rFonts w:ascii="Arial" w:hAnsi="Arial" w:cs="Arial"/>
          <w:lang w:eastAsia="ja-JP"/>
        </w:rPr>
        <w:t xml:space="preserve">, respectively. </w:t>
      </w:r>
    </w:p>
    <w:p w14:paraId="5D76826D" w14:textId="77777777" w:rsidR="0084577D" w:rsidRDefault="0084577D" w:rsidP="0084577D">
      <w:pPr>
        <w:keepNext/>
        <w:jc w:val="center"/>
        <w:rPr>
          <w:rFonts w:ascii="Arial" w:hAnsi="Arial"/>
          <w:lang w:val="en-GB" w:eastAsia="ja-JP"/>
        </w:rPr>
      </w:pPr>
      <w:r>
        <w:rPr>
          <w:rFonts w:ascii="Arial" w:hAnsi="Arial"/>
          <w:noProof/>
          <w:lang w:val="en-GB" w:eastAsia="ja-JP"/>
        </w:rPr>
        <w:lastRenderedPageBreak/>
        <w:drawing>
          <wp:inline distT="0" distB="0" distL="0" distR="0" wp14:anchorId="2FB2693C" wp14:editId="6A7BDFF0">
            <wp:extent cx="5040000" cy="3312000"/>
            <wp:effectExtent l="0" t="0" r="825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p_HARQnoHARQ_1_10_64_TDL_D_ideal_1000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29C2E7D3" w14:textId="03023145" w:rsidR="0084577D" w:rsidRPr="001D11A4" w:rsidRDefault="0084577D" w:rsidP="001D11A4">
      <w:pPr>
        <w:pStyle w:val="Caption"/>
        <w:jc w:val="center"/>
      </w:pPr>
      <w:bookmarkStart w:id="21" w:name="_Ref20744912"/>
      <w:r w:rsidRPr="008A5A04">
        <w:t xml:space="preserve">Figure </w:t>
      </w:r>
      <w:r>
        <w:fldChar w:fldCharType="begin"/>
      </w:r>
      <w:r w:rsidRPr="008A5A04">
        <w:instrText xml:space="preserve"> SEQ Figure \* ARABIC </w:instrText>
      </w:r>
      <w:r>
        <w:fldChar w:fldCharType="separate"/>
      </w:r>
      <w:r w:rsidR="00F46034">
        <w:t>4</w:t>
      </w:r>
      <w:r>
        <w:fldChar w:fldCharType="end"/>
      </w:r>
      <w:bookmarkEnd w:id="21"/>
      <w:r w:rsidRPr="008A5A04">
        <w:t xml:space="preserve">: Downlink throughput versus SNR for RTT = 64 </w:t>
      </w:r>
      <w:proofErr w:type="spellStart"/>
      <w:r w:rsidRPr="008A5A04">
        <w:t>ms.</w:t>
      </w:r>
      <w:proofErr w:type="spellEnd"/>
    </w:p>
    <w:p w14:paraId="35444DEA" w14:textId="77777777" w:rsidR="0084577D" w:rsidRDefault="0084577D" w:rsidP="0084577D">
      <w:pPr>
        <w:keepNext/>
        <w:jc w:val="center"/>
        <w:rPr>
          <w:rFonts w:ascii="Arial" w:hAnsi="Arial"/>
          <w:lang w:val="en-GB" w:eastAsia="ja-JP"/>
        </w:rPr>
      </w:pPr>
      <w:r>
        <w:rPr>
          <w:rFonts w:ascii="Arial" w:hAnsi="Arial"/>
          <w:noProof/>
          <w:lang w:val="en-GB" w:eastAsia="ja-JP"/>
        </w:rPr>
        <w:drawing>
          <wp:inline distT="0" distB="0" distL="0" distR="0" wp14:anchorId="2D4ADC6C" wp14:editId="2BF6D3BB">
            <wp:extent cx="5040000" cy="3312000"/>
            <wp:effectExtent l="0" t="0" r="825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hp_HARQnoHARQ_1_10_128_TDL_D_ideal_1000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186DCFB2" w14:textId="2A980C3F" w:rsidR="0084577D" w:rsidRDefault="0084577D" w:rsidP="0084577D">
      <w:pPr>
        <w:pStyle w:val="Caption"/>
        <w:jc w:val="center"/>
      </w:pPr>
      <w:bookmarkStart w:id="22" w:name="_Ref20744914"/>
      <w:r w:rsidRPr="008A5A04">
        <w:t xml:space="preserve">Figure </w:t>
      </w:r>
      <w:r>
        <w:fldChar w:fldCharType="begin"/>
      </w:r>
      <w:r w:rsidRPr="008A5A04">
        <w:instrText xml:space="preserve"> SEQ Figure \* ARABIC </w:instrText>
      </w:r>
      <w:r>
        <w:fldChar w:fldCharType="separate"/>
      </w:r>
      <w:r w:rsidR="00F46034">
        <w:t>5</w:t>
      </w:r>
      <w:r>
        <w:fldChar w:fldCharType="end"/>
      </w:r>
      <w:bookmarkEnd w:id="22"/>
      <w:r w:rsidRPr="008A5A04">
        <w:t xml:space="preserve">: Downlink throughput versus SNR for RTT = 128 </w:t>
      </w:r>
      <w:proofErr w:type="spellStart"/>
      <w:r w:rsidRPr="008A5A04">
        <w:t>ms.</w:t>
      </w:r>
      <w:proofErr w:type="spellEnd"/>
    </w:p>
    <w:p w14:paraId="57D9129C" w14:textId="3DABBC6B" w:rsidR="0084577D" w:rsidRPr="0084577D" w:rsidRDefault="0084577D" w:rsidP="0084577D">
      <w:pPr>
        <w:jc w:val="center"/>
        <w:rPr>
          <w:lang w:eastAsia="en-GB"/>
        </w:rPr>
      </w:pPr>
      <w:r>
        <w:rPr>
          <w:noProof/>
        </w:rPr>
        <w:lastRenderedPageBreak/>
        <w:drawing>
          <wp:inline distT="0" distB="0" distL="0" distR="0" wp14:anchorId="0068353C" wp14:editId="38CEE28A">
            <wp:extent cx="5040000" cy="3312000"/>
            <wp:effectExtent l="0" t="0" r="825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hp_HARQnoHARQ_1_10_256_TDL_D_ideal_10000.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40000" cy="3312000"/>
                    </a:xfrm>
                    <a:prstGeom prst="rect">
                      <a:avLst/>
                    </a:prstGeom>
                  </pic:spPr>
                </pic:pic>
              </a:graphicData>
            </a:graphic>
          </wp:inline>
        </w:drawing>
      </w:r>
    </w:p>
    <w:p w14:paraId="64115647" w14:textId="6F80478B" w:rsidR="0084577D" w:rsidRDefault="0084577D" w:rsidP="0084577D">
      <w:pPr>
        <w:pStyle w:val="Caption"/>
        <w:jc w:val="center"/>
      </w:pPr>
      <w:bookmarkStart w:id="23" w:name="_Ref46464632"/>
      <w:r w:rsidRPr="008A5A04">
        <w:t xml:space="preserve">Figure </w:t>
      </w:r>
      <w:r>
        <w:fldChar w:fldCharType="begin"/>
      </w:r>
      <w:r w:rsidRPr="008A5A04">
        <w:instrText xml:space="preserve"> SEQ Figure \* ARABIC </w:instrText>
      </w:r>
      <w:r>
        <w:fldChar w:fldCharType="separate"/>
      </w:r>
      <w:r w:rsidR="00F46034">
        <w:t>6</w:t>
      </w:r>
      <w:r>
        <w:fldChar w:fldCharType="end"/>
      </w:r>
      <w:bookmarkEnd w:id="23"/>
      <w:r w:rsidRPr="008A5A04">
        <w:t xml:space="preserve">: Downlink throughput versus SNR for RTT = </w:t>
      </w:r>
      <w:r>
        <w:t>256</w:t>
      </w:r>
      <w:r w:rsidRPr="008A5A04">
        <w:t xml:space="preserve"> </w:t>
      </w:r>
      <w:proofErr w:type="spellStart"/>
      <w:r w:rsidRPr="008A5A04">
        <w:t>ms.</w:t>
      </w:r>
      <w:proofErr w:type="spellEnd"/>
    </w:p>
    <w:p w14:paraId="47C5904B" w14:textId="77777777" w:rsidR="0084577D" w:rsidRPr="0084577D" w:rsidRDefault="0084577D" w:rsidP="0084577D">
      <w:pPr>
        <w:pStyle w:val="Caption"/>
        <w:keepNext/>
        <w:jc w:val="center"/>
        <w:rPr>
          <w:rFonts w:ascii="Arial" w:hAnsi="Arial"/>
          <w:lang w:eastAsia="ja-JP"/>
        </w:rPr>
      </w:pPr>
    </w:p>
    <w:p w14:paraId="1174FE92" w14:textId="3F881F38" w:rsidR="0084577D" w:rsidRPr="001D11A4" w:rsidRDefault="0084577D" w:rsidP="0084577D">
      <w:pPr>
        <w:pStyle w:val="Observation"/>
        <w:overflowPunct w:val="0"/>
        <w:autoSpaceDE w:val="0"/>
        <w:autoSpaceDN w:val="0"/>
        <w:adjustRightInd w:val="0"/>
        <w:spacing w:line="240" w:lineRule="auto"/>
        <w:textAlignment w:val="baseline"/>
      </w:pPr>
      <w:bookmarkStart w:id="24" w:name="_Toc19281091"/>
      <w:bookmarkStart w:id="25" w:name="_Toc23257407"/>
      <w:bookmarkStart w:id="26" w:name="_Toc31805887"/>
      <w:bookmarkStart w:id="27" w:name="_Toc47672431"/>
      <w:r w:rsidRPr="00443E26">
        <w:t>Evaluation results show that compared to increasing the number of HARQ processes, HARQ without feedback achieves similar throughput performance.</w:t>
      </w:r>
      <w:bookmarkEnd w:id="24"/>
      <w:bookmarkEnd w:id="25"/>
      <w:bookmarkEnd w:id="26"/>
      <w:bookmarkEnd w:id="27"/>
      <w:r w:rsidRPr="00443E26">
        <w:t xml:space="preserve"> </w:t>
      </w:r>
    </w:p>
    <w:p w14:paraId="4748C071" w14:textId="58C68729" w:rsidR="001D11A4" w:rsidRDefault="001D11A4" w:rsidP="0084577D">
      <w:pPr>
        <w:jc w:val="both"/>
        <w:rPr>
          <w:rFonts w:ascii="Arial" w:hAnsi="Arial"/>
          <w:lang w:val="en-GB" w:eastAsia="ja-JP"/>
        </w:rPr>
      </w:pPr>
      <w:r>
        <w:rPr>
          <w:rFonts w:ascii="Arial" w:hAnsi="Arial"/>
          <w:lang w:val="en-GB" w:eastAsia="ja-JP"/>
        </w:rPr>
        <w:t>In addition</w:t>
      </w:r>
      <w:r w:rsidRPr="001D11A4">
        <w:rPr>
          <w:rFonts w:ascii="Arial" w:hAnsi="Arial"/>
          <w:lang w:val="en-GB" w:eastAsia="ja-JP"/>
        </w:rPr>
        <w:t>, the main purpose of NTN is to provide ubiquitous</w:t>
      </w:r>
      <w:r>
        <w:rPr>
          <w:rFonts w:ascii="Arial" w:hAnsi="Arial"/>
          <w:lang w:val="en-GB" w:eastAsia="ja-JP"/>
        </w:rPr>
        <w:t xml:space="preserve"> </w:t>
      </w:r>
      <w:r w:rsidRPr="001D11A4">
        <w:rPr>
          <w:rFonts w:ascii="Arial" w:hAnsi="Arial"/>
          <w:lang w:val="en-GB" w:eastAsia="ja-JP"/>
        </w:rPr>
        <w:t xml:space="preserve">coverage </w:t>
      </w:r>
      <w:r>
        <w:rPr>
          <w:rFonts w:ascii="Arial" w:hAnsi="Arial"/>
          <w:lang w:val="en-GB" w:eastAsia="ja-JP"/>
        </w:rPr>
        <w:t>rather than</w:t>
      </w:r>
      <w:r w:rsidRPr="001D11A4">
        <w:rPr>
          <w:rFonts w:ascii="Arial" w:hAnsi="Arial"/>
          <w:lang w:val="en-GB" w:eastAsia="ja-JP"/>
        </w:rPr>
        <w:t xml:space="preserve"> to provide maximum throughput. Considering the </w:t>
      </w:r>
      <w:r w:rsidR="00E06982">
        <w:rPr>
          <w:rFonts w:ascii="Arial" w:hAnsi="Arial"/>
          <w:lang w:val="en-GB" w:eastAsia="ja-JP"/>
        </w:rPr>
        <w:t xml:space="preserve">negligible </w:t>
      </w:r>
      <w:r w:rsidRPr="001D11A4">
        <w:rPr>
          <w:rFonts w:ascii="Arial" w:hAnsi="Arial"/>
          <w:lang w:val="en-GB" w:eastAsia="ja-JP"/>
        </w:rPr>
        <w:t>performance difference for realistic scenarios and the added UE complexity</w:t>
      </w:r>
      <w:r>
        <w:rPr>
          <w:rFonts w:ascii="Arial" w:hAnsi="Arial"/>
          <w:lang w:val="en-GB" w:eastAsia="ja-JP"/>
        </w:rPr>
        <w:t xml:space="preserve"> and specification impact, it is not desirable to</w:t>
      </w:r>
      <w:r w:rsidRPr="001D11A4">
        <w:rPr>
          <w:rFonts w:ascii="Arial" w:hAnsi="Arial"/>
          <w:lang w:val="en-GB" w:eastAsia="ja-JP"/>
        </w:rPr>
        <w:t xml:space="preserve"> increas</w:t>
      </w:r>
      <w:r>
        <w:rPr>
          <w:rFonts w:ascii="Arial" w:hAnsi="Arial"/>
          <w:lang w:val="en-GB" w:eastAsia="ja-JP"/>
        </w:rPr>
        <w:t>e</w:t>
      </w:r>
      <w:r w:rsidRPr="001D11A4">
        <w:rPr>
          <w:rFonts w:ascii="Arial" w:hAnsi="Arial"/>
          <w:lang w:val="en-GB" w:eastAsia="ja-JP"/>
        </w:rPr>
        <w:t xml:space="preserve"> the number of HARQ processes.</w:t>
      </w:r>
      <w:r>
        <w:rPr>
          <w:rFonts w:ascii="Arial" w:hAnsi="Arial"/>
          <w:lang w:val="en-GB" w:eastAsia="ja-JP"/>
        </w:rPr>
        <w:t xml:space="preserve"> Therefore, we recommend RAN1 to conclude that there is no need to increase the number of HARQ processes for NTN</w:t>
      </w:r>
      <w:r w:rsidR="00AF4939">
        <w:rPr>
          <w:rFonts w:ascii="Arial" w:hAnsi="Arial"/>
          <w:lang w:val="en-GB" w:eastAsia="ja-JP"/>
        </w:rPr>
        <w:t>.</w:t>
      </w:r>
    </w:p>
    <w:p w14:paraId="52E569D6" w14:textId="533C1EB6" w:rsidR="00AF4939" w:rsidRPr="004E4AD0" w:rsidRDefault="00AF4939" w:rsidP="0084577D">
      <w:pPr>
        <w:pStyle w:val="Observation"/>
        <w:overflowPunct w:val="0"/>
        <w:autoSpaceDE w:val="0"/>
        <w:autoSpaceDN w:val="0"/>
        <w:adjustRightInd w:val="0"/>
        <w:spacing w:line="240" w:lineRule="auto"/>
        <w:textAlignment w:val="baseline"/>
      </w:pPr>
      <w:bookmarkStart w:id="28" w:name="_Toc47672432"/>
      <w:r>
        <w:rPr>
          <w:lang w:val="en-GB"/>
        </w:rPr>
        <w:t>T</w:t>
      </w:r>
      <w:r w:rsidRPr="001D11A4">
        <w:rPr>
          <w:lang w:val="en-GB"/>
        </w:rPr>
        <w:t>he main purpose of NTN is to provide ubiquitous</w:t>
      </w:r>
      <w:r>
        <w:rPr>
          <w:lang w:val="en-GB"/>
        </w:rPr>
        <w:t xml:space="preserve"> </w:t>
      </w:r>
      <w:r w:rsidRPr="001D11A4">
        <w:rPr>
          <w:lang w:val="en-GB"/>
        </w:rPr>
        <w:t xml:space="preserve">coverage </w:t>
      </w:r>
      <w:r>
        <w:rPr>
          <w:lang w:val="en-GB"/>
        </w:rPr>
        <w:t>rather than</w:t>
      </w:r>
      <w:r w:rsidRPr="001D11A4">
        <w:rPr>
          <w:lang w:val="en-GB"/>
        </w:rPr>
        <w:t xml:space="preserve"> to provide maximum throughput</w:t>
      </w:r>
      <w:r>
        <w:rPr>
          <w:lang w:val="en-GB"/>
        </w:rPr>
        <w:t xml:space="preserve">. </w:t>
      </w:r>
      <w:r w:rsidRPr="001D11A4">
        <w:rPr>
          <w:lang w:val="en-GB"/>
        </w:rPr>
        <w:t xml:space="preserve">Considering the </w:t>
      </w:r>
      <w:r w:rsidR="00E06982">
        <w:rPr>
          <w:lang w:val="en-GB"/>
        </w:rPr>
        <w:t xml:space="preserve">negligible </w:t>
      </w:r>
      <w:r w:rsidRPr="001D11A4">
        <w:rPr>
          <w:lang w:val="en-GB"/>
        </w:rPr>
        <w:t>performance difference for realistic scenarios and the added UE complexity</w:t>
      </w:r>
      <w:r>
        <w:rPr>
          <w:lang w:val="en-GB"/>
        </w:rPr>
        <w:t xml:space="preserve"> and specification impact, it is not desirable to</w:t>
      </w:r>
      <w:r w:rsidRPr="001D11A4">
        <w:rPr>
          <w:lang w:val="en-GB"/>
        </w:rPr>
        <w:t xml:space="preserve"> increas</w:t>
      </w:r>
      <w:r>
        <w:rPr>
          <w:lang w:val="en-GB"/>
        </w:rPr>
        <w:t>e</w:t>
      </w:r>
      <w:r w:rsidRPr="001D11A4">
        <w:rPr>
          <w:lang w:val="en-GB"/>
        </w:rPr>
        <w:t xml:space="preserve"> the number of HARQ processes.</w:t>
      </w:r>
      <w:bookmarkEnd w:id="28"/>
    </w:p>
    <w:p w14:paraId="75A20BBB" w14:textId="4C512E6B" w:rsidR="00432D1E" w:rsidRPr="004E4AD0" w:rsidRDefault="0084577D" w:rsidP="00432D1E">
      <w:pPr>
        <w:pStyle w:val="Proposal"/>
      </w:pPr>
      <w:bookmarkStart w:id="29" w:name="_Toc19281097"/>
      <w:bookmarkStart w:id="30" w:name="_Toc23257411"/>
      <w:bookmarkStart w:id="31" w:name="_Toc31805894"/>
      <w:bookmarkStart w:id="32" w:name="_Toc47672439"/>
      <w:r w:rsidRPr="004E4AD0">
        <w:t>RAN1 to conclude that there is no need to increase the number of HARQ processes for NTN.</w:t>
      </w:r>
      <w:bookmarkEnd w:id="29"/>
      <w:bookmarkEnd w:id="30"/>
      <w:bookmarkEnd w:id="31"/>
      <w:bookmarkEnd w:id="32"/>
    </w:p>
    <w:p w14:paraId="5300F849" w14:textId="18599418" w:rsidR="00C01F33" w:rsidRPr="00CE0424" w:rsidRDefault="00C01F33" w:rsidP="00CE0424">
      <w:pPr>
        <w:pStyle w:val="Heading1"/>
      </w:pPr>
      <w:r w:rsidRPr="00CE0424">
        <w:t>Conclusion</w:t>
      </w:r>
    </w:p>
    <w:p w14:paraId="5457A0DE" w14:textId="1232075E" w:rsidR="00EC6B83" w:rsidRPr="00B3738A" w:rsidRDefault="00F03DAF" w:rsidP="00D6223C">
      <w:pPr>
        <w:jc w:val="both"/>
        <w:rPr>
          <w:rFonts w:ascii="Arial" w:hAnsi="Arial"/>
          <w:b/>
          <w:bCs/>
        </w:rPr>
      </w:pPr>
      <w:r w:rsidRPr="00B3738A">
        <w:rPr>
          <w:rFonts w:ascii="Arial" w:hAnsi="Arial"/>
        </w:rPr>
        <w:t>In the previous sections</w:t>
      </w:r>
      <w:r w:rsidR="00C836D8" w:rsidRPr="00B3738A">
        <w:rPr>
          <w:rFonts w:ascii="Arial" w:hAnsi="Arial"/>
        </w:rPr>
        <w:t xml:space="preserve">, we </w:t>
      </w:r>
      <w:r w:rsidR="00D6223C" w:rsidRPr="00B3738A">
        <w:rPr>
          <w:rFonts w:ascii="Arial" w:hAnsi="Arial"/>
        </w:rPr>
        <w:t xml:space="preserve">discuss </w:t>
      </w:r>
      <w:r w:rsidR="00A80F2A">
        <w:rPr>
          <w:rFonts w:ascii="Arial" w:hAnsi="Arial"/>
        </w:rPr>
        <w:t>HARQ</w:t>
      </w:r>
      <w:r w:rsidR="007434CD">
        <w:rPr>
          <w:rFonts w:ascii="Arial" w:hAnsi="Arial"/>
        </w:rPr>
        <w:t xml:space="preserve"> enhancements for NTN</w:t>
      </w:r>
      <w:r w:rsidR="0053334B" w:rsidRPr="00B3738A">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087ACF60" w14:textId="77777777" w:rsidR="00BE6A5F"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47672430" w:history="1">
        <w:r w:rsidR="00BE6A5F" w:rsidRPr="00A5797C">
          <w:rPr>
            <w:rStyle w:val="Hyperlink"/>
            <w:noProof/>
          </w:rPr>
          <w:t>Observation 1</w:t>
        </w:r>
        <w:r w:rsidR="00BE6A5F">
          <w:rPr>
            <w:rFonts w:asciiTheme="minorHAnsi" w:hAnsiTheme="minorHAnsi"/>
            <w:b w:val="0"/>
            <w:noProof/>
          </w:rPr>
          <w:tab/>
        </w:r>
        <w:r w:rsidR="00BE6A5F" w:rsidRPr="00A5797C">
          <w:rPr>
            <w:rStyle w:val="Hyperlink"/>
            <w:noProof/>
          </w:rPr>
          <w:t>The</w:t>
        </w:r>
        <w:r w:rsidR="00BE6A5F" w:rsidRPr="00A5797C">
          <w:rPr>
            <w:rStyle w:val="Hyperlink"/>
            <w:noProof/>
            <w:lang w:val="en-GB"/>
          </w:rPr>
          <w:t xml:space="preserve"> motivation of increasing number of HARQ processes is not clear, as there exist several other ways to address the issue originated from the stop-and-wait HARQ protocol, particularly by enabling / disabling HARQ feedback. In addition, depending on carrier frequency, subcarrier spacing, satellite altitude and elevation, the needed number of HARQ processes will </w:t>
        </w:r>
        <w:r w:rsidR="00BE6A5F" w:rsidRPr="00A5797C">
          <w:rPr>
            <w:rStyle w:val="Hyperlink"/>
            <w:noProof/>
            <w:lang w:val="en-GB"/>
          </w:rPr>
          <w:lastRenderedPageBreak/>
          <w:t>differ. Hence, any increase is likely to be insufficient for many configurations.</w:t>
        </w:r>
      </w:hyperlink>
    </w:p>
    <w:p w14:paraId="6A7239FD" w14:textId="77777777" w:rsidR="00BE6A5F" w:rsidRDefault="00B27A62">
      <w:pPr>
        <w:pStyle w:val="TableofFigures"/>
        <w:tabs>
          <w:tab w:val="right" w:leader="dot" w:pos="9629"/>
        </w:tabs>
        <w:rPr>
          <w:rFonts w:asciiTheme="minorHAnsi" w:hAnsiTheme="minorHAnsi"/>
          <w:b w:val="0"/>
          <w:noProof/>
        </w:rPr>
      </w:pPr>
      <w:hyperlink w:anchor="_Toc47672431" w:history="1">
        <w:r w:rsidR="00BE6A5F" w:rsidRPr="00A5797C">
          <w:rPr>
            <w:rStyle w:val="Hyperlink"/>
            <w:noProof/>
          </w:rPr>
          <w:t>Observation 2</w:t>
        </w:r>
        <w:r w:rsidR="00BE6A5F">
          <w:rPr>
            <w:rFonts w:asciiTheme="minorHAnsi" w:hAnsiTheme="minorHAnsi"/>
            <w:b w:val="0"/>
            <w:noProof/>
          </w:rPr>
          <w:tab/>
        </w:r>
        <w:r w:rsidR="00BE6A5F" w:rsidRPr="00A5797C">
          <w:rPr>
            <w:rStyle w:val="Hyperlink"/>
            <w:noProof/>
          </w:rPr>
          <w:t>Evaluation results show that compared to increasing the number of HARQ processes, HARQ without feedback achieves similar throughput performance.</w:t>
        </w:r>
      </w:hyperlink>
    </w:p>
    <w:p w14:paraId="3B278DE1" w14:textId="77777777" w:rsidR="00BE6A5F" w:rsidRDefault="00B27A62">
      <w:pPr>
        <w:pStyle w:val="TableofFigures"/>
        <w:tabs>
          <w:tab w:val="right" w:leader="dot" w:pos="9629"/>
        </w:tabs>
        <w:rPr>
          <w:rFonts w:asciiTheme="minorHAnsi" w:hAnsiTheme="minorHAnsi"/>
          <w:b w:val="0"/>
          <w:noProof/>
        </w:rPr>
      </w:pPr>
      <w:hyperlink w:anchor="_Toc47672432" w:history="1">
        <w:r w:rsidR="00BE6A5F" w:rsidRPr="00A5797C">
          <w:rPr>
            <w:rStyle w:val="Hyperlink"/>
            <w:noProof/>
          </w:rPr>
          <w:t>Observation 3</w:t>
        </w:r>
        <w:r w:rsidR="00BE6A5F">
          <w:rPr>
            <w:rFonts w:asciiTheme="minorHAnsi" w:hAnsiTheme="minorHAnsi"/>
            <w:b w:val="0"/>
            <w:noProof/>
          </w:rPr>
          <w:tab/>
        </w:r>
        <w:r w:rsidR="00BE6A5F" w:rsidRPr="00A5797C">
          <w:rPr>
            <w:rStyle w:val="Hyperlink"/>
            <w:noProof/>
            <w:lang w:val="en-GB"/>
          </w:rPr>
          <w:t>The main purpose of NTN is to provide ubiquitous coverage rather than to provide maximum throughput. Considering the negligible performance difference for realistic scenarios and the added UE complexity and specification impact, it is not desirable to increase the number of HARQ processes.</w:t>
        </w:r>
      </w:hyperlink>
    </w:p>
    <w:p w14:paraId="3FD31450" w14:textId="777ACAF3" w:rsidR="009F06A5" w:rsidRPr="00B3738A" w:rsidRDefault="009F06A5" w:rsidP="009F06A5">
      <w:pPr>
        <w:pStyle w:val="BodyText"/>
      </w:pPr>
      <w:r w:rsidRPr="00B3738A">
        <w:rPr>
          <w:b/>
          <w:bCs/>
        </w:rPr>
        <w:fldChar w:fldCharType="end"/>
      </w:r>
    </w:p>
    <w:p w14:paraId="1FBF2552" w14:textId="77777777" w:rsidR="009F06A5" w:rsidRPr="00B3738A" w:rsidRDefault="009F06A5" w:rsidP="009F06A5">
      <w:pPr>
        <w:pStyle w:val="BodyText"/>
      </w:pPr>
      <w:r w:rsidRPr="00B3738A">
        <w:t>Based on the discussion in the previous sections we propose the following:</w:t>
      </w:r>
    </w:p>
    <w:p w14:paraId="7723E5BB" w14:textId="77777777" w:rsidR="00BE6A5F"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47672433" w:history="1">
        <w:r w:rsidR="00BE6A5F" w:rsidRPr="00531EFF">
          <w:rPr>
            <w:rStyle w:val="Hyperlink"/>
            <w:noProof/>
          </w:rPr>
          <w:t>Proposal 1</w:t>
        </w:r>
        <w:r w:rsidR="00BE6A5F">
          <w:rPr>
            <w:rFonts w:asciiTheme="minorHAnsi" w:hAnsiTheme="minorHAnsi"/>
            <w:b w:val="0"/>
            <w:noProof/>
          </w:rPr>
          <w:tab/>
        </w:r>
        <w:r w:rsidR="00BE6A5F" w:rsidRPr="00531EFF">
          <w:rPr>
            <w:rStyle w:val="Hyperlink"/>
            <w:noProof/>
          </w:rPr>
          <w:t>UE expects that at least one HARQ process is configured with UL HARQ feedback.</w:t>
        </w:r>
      </w:hyperlink>
    </w:p>
    <w:p w14:paraId="37312275" w14:textId="77777777" w:rsidR="00BE6A5F" w:rsidRDefault="00B27A62">
      <w:pPr>
        <w:pStyle w:val="TableofFigures"/>
        <w:tabs>
          <w:tab w:val="right" w:leader="dot" w:pos="9629"/>
        </w:tabs>
        <w:rPr>
          <w:rFonts w:asciiTheme="minorHAnsi" w:hAnsiTheme="minorHAnsi"/>
          <w:b w:val="0"/>
          <w:noProof/>
        </w:rPr>
      </w:pPr>
      <w:hyperlink w:anchor="_Toc47672434" w:history="1">
        <w:r w:rsidR="00BE6A5F" w:rsidRPr="00531EFF">
          <w:rPr>
            <w:rStyle w:val="Hyperlink"/>
            <w:noProof/>
          </w:rPr>
          <w:t>Proposal 2</w:t>
        </w:r>
        <w:r w:rsidR="00BE6A5F">
          <w:rPr>
            <w:rFonts w:asciiTheme="minorHAnsi" w:hAnsiTheme="minorHAnsi"/>
            <w:b w:val="0"/>
            <w:noProof/>
          </w:rPr>
          <w:tab/>
        </w:r>
        <w:r w:rsidR="00BE6A5F" w:rsidRPr="00531EFF">
          <w:rPr>
            <w:rStyle w:val="Hyperlink"/>
            <w:noProof/>
          </w:rPr>
          <w:t xml:space="preserve">RAN1 to discuss </w:t>
        </w:r>
        <w:r w:rsidR="00BE6A5F" w:rsidRPr="00531EFF">
          <w:rPr>
            <w:rStyle w:val="Hyperlink"/>
            <w:rFonts w:cs="Arial"/>
            <w:noProof/>
          </w:rPr>
          <w:t>what parameters need to be configured differently for HARQ processes with feedback and HARQ processes without feedback.</w:t>
        </w:r>
      </w:hyperlink>
    </w:p>
    <w:p w14:paraId="7303AF27" w14:textId="77777777" w:rsidR="00BE6A5F" w:rsidRDefault="00B27A62">
      <w:pPr>
        <w:pStyle w:val="TableofFigures"/>
        <w:tabs>
          <w:tab w:val="right" w:leader="dot" w:pos="9629"/>
        </w:tabs>
        <w:rPr>
          <w:rFonts w:asciiTheme="minorHAnsi" w:hAnsiTheme="minorHAnsi"/>
          <w:b w:val="0"/>
          <w:noProof/>
        </w:rPr>
      </w:pPr>
      <w:hyperlink w:anchor="_Toc47672435" w:history="1">
        <w:r w:rsidR="00BE6A5F" w:rsidRPr="00531EFF">
          <w:rPr>
            <w:rStyle w:val="Hyperlink"/>
            <w:noProof/>
          </w:rPr>
          <w:t>Proposal 3</w:t>
        </w:r>
        <w:r w:rsidR="00BE6A5F">
          <w:rPr>
            <w:rFonts w:asciiTheme="minorHAnsi" w:hAnsiTheme="minorHAnsi"/>
            <w:b w:val="0"/>
            <w:noProof/>
          </w:rPr>
          <w:tab/>
        </w:r>
        <w:r w:rsidR="00BE6A5F" w:rsidRPr="00531EFF">
          <w:rPr>
            <w:rStyle w:val="Hyperlink"/>
            <w:noProof/>
          </w:rPr>
          <w:t>When HARQ processes are enabled/disabled on a per HARQ process basis, in the case of the NR Type-1 HARQ codebook, the UE inserts NACKs in positions corresponding to PDSCHs associated with feedback disabled HARQ processes.</w:t>
        </w:r>
      </w:hyperlink>
    </w:p>
    <w:p w14:paraId="6F636466" w14:textId="77777777" w:rsidR="00BE6A5F" w:rsidRDefault="00B27A62">
      <w:pPr>
        <w:pStyle w:val="TableofFigures"/>
        <w:tabs>
          <w:tab w:val="right" w:leader="dot" w:pos="9629"/>
        </w:tabs>
        <w:rPr>
          <w:rFonts w:asciiTheme="minorHAnsi" w:hAnsiTheme="minorHAnsi"/>
          <w:b w:val="0"/>
          <w:noProof/>
        </w:rPr>
      </w:pPr>
      <w:hyperlink w:anchor="_Toc47672436" w:history="1">
        <w:r w:rsidR="00BE6A5F" w:rsidRPr="00531EFF">
          <w:rPr>
            <w:rStyle w:val="Hyperlink"/>
            <w:noProof/>
          </w:rPr>
          <w:t>Proposal 4</w:t>
        </w:r>
        <w:r w:rsidR="00BE6A5F">
          <w:rPr>
            <w:rFonts w:asciiTheme="minorHAnsi" w:hAnsiTheme="minorHAnsi"/>
            <w:b w:val="0"/>
            <w:noProof/>
          </w:rPr>
          <w:tab/>
        </w:r>
        <w:r w:rsidR="00BE6A5F" w:rsidRPr="00531EFF">
          <w:rPr>
            <w:rStyle w:val="Hyperlink"/>
            <w:noProof/>
          </w:rPr>
          <w:t>When HARQ processes are enabled/disabled on a per HARQ process basis, in the case of the NR Type-2 HARQ codebook, the UE ignores counter DAI from a PDCCH that is associated with a feedback disabled HARQ process and counter DAI is not incremented for such a PDCCH.</w:t>
        </w:r>
      </w:hyperlink>
    </w:p>
    <w:p w14:paraId="530F995C" w14:textId="77777777" w:rsidR="00BE6A5F" w:rsidRDefault="00B27A62">
      <w:pPr>
        <w:pStyle w:val="TableofFigures"/>
        <w:tabs>
          <w:tab w:val="right" w:leader="dot" w:pos="9629"/>
        </w:tabs>
        <w:rPr>
          <w:rFonts w:asciiTheme="minorHAnsi" w:hAnsiTheme="minorHAnsi"/>
          <w:b w:val="0"/>
          <w:noProof/>
        </w:rPr>
      </w:pPr>
      <w:hyperlink w:anchor="_Toc47672437" w:history="1">
        <w:r w:rsidR="00BE6A5F" w:rsidRPr="00531EFF">
          <w:rPr>
            <w:rStyle w:val="Hyperlink"/>
            <w:noProof/>
          </w:rPr>
          <w:t>Proposal 5</w:t>
        </w:r>
        <w:r w:rsidR="00BE6A5F">
          <w:rPr>
            <w:rFonts w:asciiTheme="minorHAnsi" w:hAnsiTheme="minorHAnsi"/>
            <w:b w:val="0"/>
            <w:noProof/>
          </w:rPr>
          <w:tab/>
        </w:r>
        <w:r w:rsidR="00BE6A5F" w:rsidRPr="00531EFF">
          <w:rPr>
            <w:rStyle w:val="Hyperlink"/>
            <w:noProof/>
          </w:rPr>
          <w:t>When HARQ processes are enabled/disabled on a per HARQ process basis, in the case of the NR Type-2 HARQ codebook, the total DAI (if present) indicates the sum of all the scheduled PDCCHs associated with feedback enabled HARQ process.</w:t>
        </w:r>
      </w:hyperlink>
    </w:p>
    <w:p w14:paraId="187B4573" w14:textId="77777777" w:rsidR="00BE6A5F" w:rsidRDefault="00B27A62">
      <w:pPr>
        <w:pStyle w:val="TableofFigures"/>
        <w:tabs>
          <w:tab w:val="right" w:leader="dot" w:pos="9629"/>
        </w:tabs>
        <w:rPr>
          <w:rFonts w:asciiTheme="minorHAnsi" w:hAnsiTheme="minorHAnsi"/>
          <w:b w:val="0"/>
          <w:noProof/>
        </w:rPr>
      </w:pPr>
      <w:hyperlink w:anchor="_Toc47672438" w:history="1">
        <w:r w:rsidR="00BE6A5F" w:rsidRPr="00531EFF">
          <w:rPr>
            <w:rStyle w:val="Hyperlink"/>
            <w:noProof/>
          </w:rPr>
          <w:t>Proposal 6</w:t>
        </w:r>
        <w:r w:rsidR="00BE6A5F">
          <w:rPr>
            <w:rFonts w:asciiTheme="minorHAnsi" w:hAnsiTheme="minorHAnsi"/>
            <w:b w:val="0"/>
            <w:noProof/>
          </w:rPr>
          <w:tab/>
        </w:r>
        <w:r w:rsidR="00BE6A5F" w:rsidRPr="00531EFF">
          <w:rPr>
            <w:rStyle w:val="Hyperlink"/>
            <w:noProof/>
          </w:rPr>
          <w:t>When HARQ processes are enabled/disabled on a per HARQ process basis, in the case of the NR Type-3 HARQ codebook, the codebook size is dimensioned to include ACK/NACK information only for HARQ processes that are enabled.</w:t>
        </w:r>
      </w:hyperlink>
    </w:p>
    <w:p w14:paraId="4C241D40" w14:textId="77777777" w:rsidR="00BE6A5F" w:rsidRDefault="00B27A62">
      <w:pPr>
        <w:pStyle w:val="TableofFigures"/>
        <w:tabs>
          <w:tab w:val="right" w:leader="dot" w:pos="9629"/>
        </w:tabs>
        <w:rPr>
          <w:rFonts w:asciiTheme="minorHAnsi" w:hAnsiTheme="minorHAnsi"/>
          <w:b w:val="0"/>
          <w:noProof/>
        </w:rPr>
      </w:pPr>
      <w:hyperlink w:anchor="_Toc47672439" w:history="1">
        <w:r w:rsidR="00BE6A5F" w:rsidRPr="00531EFF">
          <w:rPr>
            <w:rStyle w:val="Hyperlink"/>
            <w:noProof/>
          </w:rPr>
          <w:t>Proposal 7</w:t>
        </w:r>
        <w:r w:rsidR="00BE6A5F">
          <w:rPr>
            <w:rFonts w:asciiTheme="minorHAnsi" w:hAnsiTheme="minorHAnsi"/>
            <w:b w:val="0"/>
            <w:noProof/>
          </w:rPr>
          <w:tab/>
        </w:r>
        <w:r w:rsidR="00BE6A5F" w:rsidRPr="00531EFF">
          <w:rPr>
            <w:rStyle w:val="Hyperlink"/>
            <w:noProof/>
          </w:rPr>
          <w:t>RAN1 to conclude that there is no need to increase the number of HARQ processes for NTN.</w:t>
        </w:r>
      </w:hyperlink>
    </w:p>
    <w:p w14:paraId="7FDB652A" w14:textId="2082FD3D" w:rsidR="009F06A5" w:rsidRPr="00B3738A" w:rsidRDefault="009F06A5" w:rsidP="00752E43">
      <w:pPr>
        <w:rPr>
          <w:highlight w:val="yellow"/>
        </w:rPr>
      </w:pPr>
      <w:r w:rsidRPr="00B3738A">
        <w:rPr>
          <w:b/>
          <w:bCs/>
        </w:rPr>
        <w:fldChar w:fldCharType="end"/>
      </w:r>
    </w:p>
    <w:p w14:paraId="43055322" w14:textId="1A950341" w:rsidR="00185E4A" w:rsidRPr="00114AE3" w:rsidRDefault="00F507D1" w:rsidP="00114AE3">
      <w:pPr>
        <w:pStyle w:val="Heading1"/>
      </w:pPr>
      <w:bookmarkStart w:id="33" w:name="_In-sequence_SDU_delivery"/>
      <w:bookmarkEnd w:id="33"/>
      <w:r w:rsidRPr="00CE0424">
        <w:t>References</w:t>
      </w:r>
      <w:bookmarkStart w:id="34" w:name="_Ref510504022"/>
      <w:bookmarkStart w:id="35" w:name="_Ref510814820"/>
      <w:bookmarkStart w:id="36" w:name="_Ref174151459"/>
      <w:bookmarkStart w:id="37" w:name="_Ref189809556"/>
    </w:p>
    <w:p w14:paraId="6FDAFAD3" w14:textId="58DE05F8" w:rsidR="0081032C" w:rsidRDefault="0081032C" w:rsidP="0081032C">
      <w:pPr>
        <w:pStyle w:val="Reference"/>
      </w:pPr>
      <w:bookmarkStart w:id="38" w:name="_Ref42716514"/>
      <w:bookmarkStart w:id="39" w:name="_Ref45286859"/>
      <w:bookmarkEnd w:id="34"/>
      <w:bookmarkEnd w:id="35"/>
      <w:bookmarkEnd w:id="36"/>
      <w:bookmarkEnd w:id="37"/>
      <w:r w:rsidRPr="002A2A3F">
        <w:t>RP-</w:t>
      </w:r>
      <w:r>
        <w:t>201256</w:t>
      </w:r>
      <w:r w:rsidRPr="002A2A3F">
        <w:t xml:space="preserve">, </w:t>
      </w:r>
      <w:r w:rsidRPr="0015455E">
        <w:t>“</w:t>
      </w:r>
      <w:r w:rsidRPr="0081032C">
        <w:rPr>
          <w:rFonts w:eastAsia="Batang" w:cs="Arial"/>
        </w:rPr>
        <w:t>Solutions for NR to support non-terrestrial networks (NTN),</w:t>
      </w:r>
      <w:r w:rsidRPr="0015455E">
        <w:t>”</w:t>
      </w:r>
      <w:r w:rsidRPr="002A2A3F">
        <w:t xml:space="preserve"> 3GPP TSG RAN #8</w:t>
      </w:r>
      <w:r>
        <w:t>8e</w:t>
      </w:r>
      <w:r w:rsidRPr="002A2A3F">
        <w:t xml:space="preserve">, </w:t>
      </w:r>
      <w:r>
        <w:t>June</w:t>
      </w:r>
      <w:r w:rsidRPr="002A2A3F">
        <w:t xml:space="preserve"> 20</w:t>
      </w:r>
      <w:bookmarkEnd w:id="38"/>
      <w:r>
        <w:t>20.</w:t>
      </w:r>
      <w:bookmarkEnd w:id="39"/>
    </w:p>
    <w:p w14:paraId="0AD9171F" w14:textId="2002C51A" w:rsidR="007434CD" w:rsidRPr="0038732B" w:rsidRDefault="007434CD" w:rsidP="007434CD">
      <w:pPr>
        <w:pStyle w:val="Reference"/>
      </w:pPr>
      <w:bookmarkStart w:id="40" w:name="_Ref29827421"/>
      <w:bookmarkStart w:id="41" w:name="_Ref46459196"/>
      <w:r>
        <w:t xml:space="preserve">TR 38.821, </w:t>
      </w:r>
      <w:r w:rsidRPr="007434CD">
        <w:t>Solutions for NR to support non-terrestrial networks</w:t>
      </w:r>
      <w:bookmarkEnd w:id="40"/>
      <w:r w:rsidR="00697181">
        <w:t>.</w:t>
      </w:r>
      <w:bookmarkEnd w:id="41"/>
    </w:p>
    <w:sectPr w:rsidR="007434CD" w:rsidRPr="0038732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93959" w14:textId="77777777" w:rsidR="001C7D1A" w:rsidRDefault="001C7D1A">
      <w:r>
        <w:separator/>
      </w:r>
    </w:p>
  </w:endnote>
  <w:endnote w:type="continuationSeparator" w:id="0">
    <w:p w14:paraId="2FF68B07" w14:textId="77777777" w:rsidR="001C7D1A" w:rsidRDefault="001C7D1A">
      <w:r>
        <w:continuationSeparator/>
      </w:r>
    </w:p>
  </w:endnote>
  <w:endnote w:type="continuationNotice" w:id="1">
    <w:p w14:paraId="5CAFE9A0" w14:textId="77777777" w:rsidR="001C7D1A" w:rsidRDefault="001C7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F46CA9" w:rsidRDefault="00F46C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C1438" w14:textId="77777777" w:rsidR="001C7D1A" w:rsidRDefault="001C7D1A">
      <w:r>
        <w:separator/>
      </w:r>
    </w:p>
  </w:footnote>
  <w:footnote w:type="continuationSeparator" w:id="0">
    <w:p w14:paraId="6011B64D" w14:textId="77777777" w:rsidR="001C7D1A" w:rsidRDefault="001C7D1A">
      <w:r>
        <w:continuationSeparator/>
      </w:r>
    </w:p>
  </w:footnote>
  <w:footnote w:type="continuationNotice" w:id="1">
    <w:p w14:paraId="5E250D0B" w14:textId="77777777" w:rsidR="001C7D1A" w:rsidRDefault="001C7D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46CA9" w:rsidRDefault="00F46C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4A56FE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0632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CF2359"/>
    <w:multiLevelType w:val="hybridMultilevel"/>
    <w:tmpl w:val="4DB81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653FB"/>
    <w:multiLevelType w:val="hybridMultilevel"/>
    <w:tmpl w:val="F032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30409F"/>
    <w:multiLevelType w:val="hybridMultilevel"/>
    <w:tmpl w:val="B914CAC4"/>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D36AC"/>
    <w:multiLevelType w:val="hybridMultilevel"/>
    <w:tmpl w:val="27FEB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2B497F"/>
    <w:multiLevelType w:val="hybridMultilevel"/>
    <w:tmpl w:val="6B46F230"/>
    <w:lvl w:ilvl="0" w:tplc="05F031A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CB2643"/>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4A6D27"/>
    <w:multiLevelType w:val="hybridMultilevel"/>
    <w:tmpl w:val="5364B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9B447DA">
      <w:start w:val="19"/>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450A93"/>
    <w:multiLevelType w:val="hybridMultilevel"/>
    <w:tmpl w:val="BFEE93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8F123B1"/>
    <w:multiLevelType w:val="hybridMultilevel"/>
    <w:tmpl w:val="FCDC2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FB307A"/>
    <w:multiLevelType w:val="hybridMultilevel"/>
    <w:tmpl w:val="DDD266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902729"/>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4"/>
  </w:num>
  <w:num w:numId="3">
    <w:abstractNumId w:val="0"/>
  </w:num>
  <w:num w:numId="4">
    <w:abstractNumId w:val="33"/>
  </w:num>
  <w:num w:numId="5">
    <w:abstractNumId w:val="34"/>
  </w:num>
  <w:num w:numId="6">
    <w:abstractNumId w:val="38"/>
  </w:num>
  <w:num w:numId="7">
    <w:abstractNumId w:val="13"/>
  </w:num>
  <w:num w:numId="8">
    <w:abstractNumId w:val="14"/>
  </w:num>
  <w:num w:numId="9">
    <w:abstractNumId w:val="8"/>
  </w:num>
  <w:num w:numId="10">
    <w:abstractNumId w:val="46"/>
  </w:num>
  <w:num w:numId="11">
    <w:abstractNumId w:val="22"/>
  </w:num>
  <w:num w:numId="12">
    <w:abstractNumId w:val="44"/>
  </w:num>
  <w:num w:numId="13">
    <w:abstractNumId w:val="18"/>
  </w:num>
  <w:num w:numId="14">
    <w:abstractNumId w:val="32"/>
  </w:num>
  <w:num w:numId="15">
    <w:abstractNumId w:val="40"/>
  </w:num>
  <w:num w:numId="16">
    <w:abstractNumId w:val="5"/>
  </w:num>
  <w:num w:numId="17">
    <w:abstractNumId w:val="29"/>
  </w:num>
  <w:num w:numId="18">
    <w:abstractNumId w:val="20"/>
  </w:num>
  <w:num w:numId="19">
    <w:abstractNumId w:val="17"/>
  </w:num>
  <w:num w:numId="20">
    <w:abstractNumId w:val="45"/>
  </w:num>
  <w:num w:numId="21">
    <w:abstractNumId w:val="15"/>
  </w:num>
  <w:num w:numId="22">
    <w:abstractNumId w:val="37"/>
  </w:num>
  <w:num w:numId="23">
    <w:abstractNumId w:val="23"/>
  </w:num>
  <w:num w:numId="24">
    <w:abstractNumId w:val="36"/>
  </w:num>
  <w:num w:numId="25">
    <w:abstractNumId w:val="12"/>
  </w:num>
  <w:num w:numId="26">
    <w:abstractNumId w:val="49"/>
  </w:num>
  <w:num w:numId="27">
    <w:abstractNumId w:val="4"/>
  </w:num>
  <w:num w:numId="28">
    <w:abstractNumId w:val="25"/>
  </w:num>
  <w:num w:numId="29">
    <w:abstractNumId w:val="48"/>
  </w:num>
  <w:num w:numId="30">
    <w:abstractNumId w:val="2"/>
  </w:num>
  <w:num w:numId="31">
    <w:abstractNumId w:val="39"/>
  </w:num>
  <w:num w:numId="32">
    <w:abstractNumId w:val="27"/>
  </w:num>
  <w:num w:numId="33">
    <w:abstractNumId w:val="3"/>
  </w:num>
  <w:num w:numId="34">
    <w:abstractNumId w:val="6"/>
  </w:num>
  <w:num w:numId="35">
    <w:abstractNumId w:val="47"/>
  </w:num>
  <w:num w:numId="36">
    <w:abstractNumId w:val="28"/>
  </w:num>
  <w:num w:numId="37">
    <w:abstractNumId w:val="43"/>
  </w:num>
  <w:num w:numId="38">
    <w:abstractNumId w:val="11"/>
  </w:num>
  <w:num w:numId="39">
    <w:abstractNumId w:val="26"/>
  </w:num>
  <w:num w:numId="40">
    <w:abstractNumId w:val="41"/>
  </w:num>
  <w:num w:numId="41">
    <w:abstractNumId w:val="31"/>
  </w:num>
  <w:num w:numId="42">
    <w:abstractNumId w:val="42"/>
  </w:num>
  <w:num w:numId="43">
    <w:abstractNumId w:val="1"/>
  </w:num>
  <w:num w:numId="44">
    <w:abstractNumId w:val="16"/>
  </w:num>
  <w:num w:numId="45">
    <w:abstractNumId w:val="7"/>
  </w:num>
  <w:num w:numId="46">
    <w:abstractNumId w:val="35"/>
  </w:num>
  <w:num w:numId="47">
    <w:abstractNumId w:val="10"/>
  </w:num>
  <w:num w:numId="48">
    <w:abstractNumId w:val="19"/>
  </w:num>
  <w:num w:numId="49">
    <w:abstractNumId w:val="9"/>
  </w:num>
  <w:num w:numId="5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4EF6"/>
    <w:rsid w:val="000154EF"/>
    <w:rsid w:val="00015CC2"/>
    <w:rsid w:val="00015D15"/>
    <w:rsid w:val="00020BB4"/>
    <w:rsid w:val="00021BCA"/>
    <w:rsid w:val="0002306C"/>
    <w:rsid w:val="00023A67"/>
    <w:rsid w:val="000245AB"/>
    <w:rsid w:val="000250B9"/>
    <w:rsid w:val="0002564D"/>
    <w:rsid w:val="00025ECA"/>
    <w:rsid w:val="000325B8"/>
    <w:rsid w:val="00033A33"/>
    <w:rsid w:val="00034C15"/>
    <w:rsid w:val="00035B60"/>
    <w:rsid w:val="00036BA1"/>
    <w:rsid w:val="000422E2"/>
    <w:rsid w:val="000428E8"/>
    <w:rsid w:val="00042F22"/>
    <w:rsid w:val="00042F82"/>
    <w:rsid w:val="000433AE"/>
    <w:rsid w:val="0004355B"/>
    <w:rsid w:val="00043953"/>
    <w:rsid w:val="00043A70"/>
    <w:rsid w:val="000440A2"/>
    <w:rsid w:val="000444EF"/>
    <w:rsid w:val="00044C67"/>
    <w:rsid w:val="0004616A"/>
    <w:rsid w:val="0005105C"/>
    <w:rsid w:val="00052781"/>
    <w:rsid w:val="0005287E"/>
    <w:rsid w:val="00052A07"/>
    <w:rsid w:val="000534E3"/>
    <w:rsid w:val="0005406E"/>
    <w:rsid w:val="0005606A"/>
    <w:rsid w:val="00057117"/>
    <w:rsid w:val="00057A10"/>
    <w:rsid w:val="0006060C"/>
    <w:rsid w:val="000616E7"/>
    <w:rsid w:val="0006470B"/>
    <w:rsid w:val="0006487E"/>
    <w:rsid w:val="0006535A"/>
    <w:rsid w:val="00065E1A"/>
    <w:rsid w:val="0007155D"/>
    <w:rsid w:val="000738AC"/>
    <w:rsid w:val="000748AA"/>
    <w:rsid w:val="00077468"/>
    <w:rsid w:val="00077E5F"/>
    <w:rsid w:val="0008036A"/>
    <w:rsid w:val="00081160"/>
    <w:rsid w:val="0008193D"/>
    <w:rsid w:val="00081AE6"/>
    <w:rsid w:val="00081E7D"/>
    <w:rsid w:val="00084563"/>
    <w:rsid w:val="000855EB"/>
    <w:rsid w:val="00085B52"/>
    <w:rsid w:val="000866F2"/>
    <w:rsid w:val="0009009F"/>
    <w:rsid w:val="00091557"/>
    <w:rsid w:val="000924C1"/>
    <w:rsid w:val="000924F0"/>
    <w:rsid w:val="00093474"/>
    <w:rsid w:val="0009370F"/>
    <w:rsid w:val="000938F7"/>
    <w:rsid w:val="0009510F"/>
    <w:rsid w:val="000951A0"/>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3BD"/>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4B55"/>
    <w:rsid w:val="001153EA"/>
    <w:rsid w:val="00115643"/>
    <w:rsid w:val="00116765"/>
    <w:rsid w:val="0011691C"/>
    <w:rsid w:val="00116CD0"/>
    <w:rsid w:val="00117814"/>
    <w:rsid w:val="001206CC"/>
    <w:rsid w:val="00120AD4"/>
    <w:rsid w:val="001219F5"/>
    <w:rsid w:val="00121A20"/>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37E2"/>
    <w:rsid w:val="001551B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C7D1A"/>
    <w:rsid w:val="001D09D0"/>
    <w:rsid w:val="001D11A4"/>
    <w:rsid w:val="001D17C6"/>
    <w:rsid w:val="001D3252"/>
    <w:rsid w:val="001D51BA"/>
    <w:rsid w:val="001D53E7"/>
    <w:rsid w:val="001D5F58"/>
    <w:rsid w:val="001D6342"/>
    <w:rsid w:val="001D6D53"/>
    <w:rsid w:val="001D781B"/>
    <w:rsid w:val="001E1624"/>
    <w:rsid w:val="001E32B7"/>
    <w:rsid w:val="001E3FB6"/>
    <w:rsid w:val="001E438D"/>
    <w:rsid w:val="001E58E2"/>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C54"/>
    <w:rsid w:val="0022614E"/>
    <w:rsid w:val="00226ABC"/>
    <w:rsid w:val="00227475"/>
    <w:rsid w:val="00230765"/>
    <w:rsid w:val="00230D18"/>
    <w:rsid w:val="002319E4"/>
    <w:rsid w:val="00232DC9"/>
    <w:rsid w:val="002338B3"/>
    <w:rsid w:val="00234EFA"/>
    <w:rsid w:val="00235632"/>
    <w:rsid w:val="00235872"/>
    <w:rsid w:val="002378FA"/>
    <w:rsid w:val="002403E6"/>
    <w:rsid w:val="00240BB4"/>
    <w:rsid w:val="00241559"/>
    <w:rsid w:val="00243268"/>
    <w:rsid w:val="002435B3"/>
    <w:rsid w:val="002458EB"/>
    <w:rsid w:val="00245B35"/>
    <w:rsid w:val="002500C8"/>
    <w:rsid w:val="00251882"/>
    <w:rsid w:val="00252826"/>
    <w:rsid w:val="00256209"/>
    <w:rsid w:val="00257543"/>
    <w:rsid w:val="002617E7"/>
    <w:rsid w:val="00261A00"/>
    <w:rsid w:val="00262905"/>
    <w:rsid w:val="00262BCE"/>
    <w:rsid w:val="00264228"/>
    <w:rsid w:val="00264334"/>
    <w:rsid w:val="0026473E"/>
    <w:rsid w:val="00264A02"/>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3D8E"/>
    <w:rsid w:val="002862CA"/>
    <w:rsid w:val="00286ACD"/>
    <w:rsid w:val="00287838"/>
    <w:rsid w:val="002907B5"/>
    <w:rsid w:val="00291CB8"/>
    <w:rsid w:val="002928CE"/>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2771"/>
    <w:rsid w:val="002F37A9"/>
    <w:rsid w:val="002F5755"/>
    <w:rsid w:val="00301A56"/>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5EAF"/>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5442"/>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1B8D"/>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55E4"/>
    <w:rsid w:val="003E6476"/>
    <w:rsid w:val="003E660B"/>
    <w:rsid w:val="003E67E8"/>
    <w:rsid w:val="003E74E3"/>
    <w:rsid w:val="003F013E"/>
    <w:rsid w:val="003F05C7"/>
    <w:rsid w:val="003F2CD4"/>
    <w:rsid w:val="003F2D87"/>
    <w:rsid w:val="003F3F3E"/>
    <w:rsid w:val="003F5872"/>
    <w:rsid w:val="003F6BBE"/>
    <w:rsid w:val="003F76F9"/>
    <w:rsid w:val="004000E8"/>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1E"/>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107"/>
    <w:rsid w:val="00477768"/>
    <w:rsid w:val="00480243"/>
    <w:rsid w:val="00481C73"/>
    <w:rsid w:val="00481C95"/>
    <w:rsid w:val="00484314"/>
    <w:rsid w:val="0048542E"/>
    <w:rsid w:val="00485E45"/>
    <w:rsid w:val="00486076"/>
    <w:rsid w:val="0049015F"/>
    <w:rsid w:val="00492BC5"/>
    <w:rsid w:val="004964F1"/>
    <w:rsid w:val="00497023"/>
    <w:rsid w:val="00497919"/>
    <w:rsid w:val="004A0F8E"/>
    <w:rsid w:val="004A16BC"/>
    <w:rsid w:val="004A2448"/>
    <w:rsid w:val="004A2B94"/>
    <w:rsid w:val="004A417B"/>
    <w:rsid w:val="004A65FF"/>
    <w:rsid w:val="004A793F"/>
    <w:rsid w:val="004A7B6B"/>
    <w:rsid w:val="004B05D8"/>
    <w:rsid w:val="004B20DD"/>
    <w:rsid w:val="004B2406"/>
    <w:rsid w:val="004B322A"/>
    <w:rsid w:val="004B48E6"/>
    <w:rsid w:val="004B6058"/>
    <w:rsid w:val="004B6F6A"/>
    <w:rsid w:val="004B79D1"/>
    <w:rsid w:val="004B7C0C"/>
    <w:rsid w:val="004C3898"/>
    <w:rsid w:val="004C3CA7"/>
    <w:rsid w:val="004C6B0C"/>
    <w:rsid w:val="004C6F5F"/>
    <w:rsid w:val="004D19E1"/>
    <w:rsid w:val="004D36B1"/>
    <w:rsid w:val="004D6725"/>
    <w:rsid w:val="004D7EBD"/>
    <w:rsid w:val="004E0020"/>
    <w:rsid w:val="004E1592"/>
    <w:rsid w:val="004E2110"/>
    <w:rsid w:val="004E2680"/>
    <w:rsid w:val="004E28F9"/>
    <w:rsid w:val="004E3200"/>
    <w:rsid w:val="004E42C9"/>
    <w:rsid w:val="004E462E"/>
    <w:rsid w:val="004E4AD0"/>
    <w:rsid w:val="004E56DC"/>
    <w:rsid w:val="004E5D8D"/>
    <w:rsid w:val="004E76F4"/>
    <w:rsid w:val="004E77CA"/>
    <w:rsid w:val="004F0B4E"/>
    <w:rsid w:val="004F0B6C"/>
    <w:rsid w:val="004F2078"/>
    <w:rsid w:val="004F24D8"/>
    <w:rsid w:val="004F4978"/>
    <w:rsid w:val="004F4DA3"/>
    <w:rsid w:val="004F5193"/>
    <w:rsid w:val="004F5941"/>
    <w:rsid w:val="004F5F37"/>
    <w:rsid w:val="004F71D8"/>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1146"/>
    <w:rsid w:val="00532928"/>
    <w:rsid w:val="0053334B"/>
    <w:rsid w:val="00534B59"/>
    <w:rsid w:val="00534CE4"/>
    <w:rsid w:val="00535DA6"/>
    <w:rsid w:val="005360F9"/>
    <w:rsid w:val="00536759"/>
    <w:rsid w:val="00536E0C"/>
    <w:rsid w:val="005379CC"/>
    <w:rsid w:val="00537C62"/>
    <w:rsid w:val="00541417"/>
    <w:rsid w:val="0054141C"/>
    <w:rsid w:val="0054241E"/>
    <w:rsid w:val="005427EF"/>
    <w:rsid w:val="00546970"/>
    <w:rsid w:val="00550115"/>
    <w:rsid w:val="00550919"/>
    <w:rsid w:val="00551BCD"/>
    <w:rsid w:val="0055260C"/>
    <w:rsid w:val="0055306A"/>
    <w:rsid w:val="00554E19"/>
    <w:rsid w:val="005565C7"/>
    <w:rsid w:val="00560227"/>
    <w:rsid w:val="0056121F"/>
    <w:rsid w:val="00562A90"/>
    <w:rsid w:val="00565FFB"/>
    <w:rsid w:val="0056603E"/>
    <w:rsid w:val="005662D7"/>
    <w:rsid w:val="00566781"/>
    <w:rsid w:val="00567F12"/>
    <w:rsid w:val="00567FF7"/>
    <w:rsid w:val="005701C5"/>
    <w:rsid w:val="00572505"/>
    <w:rsid w:val="00576CCF"/>
    <w:rsid w:val="00582567"/>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75"/>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256"/>
    <w:rsid w:val="006234A6"/>
    <w:rsid w:val="00625D07"/>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3B8"/>
    <w:rsid w:val="006C060D"/>
    <w:rsid w:val="006C1C20"/>
    <w:rsid w:val="006C1C7B"/>
    <w:rsid w:val="006C457B"/>
    <w:rsid w:val="006C5EC9"/>
    <w:rsid w:val="006C6059"/>
    <w:rsid w:val="006C7522"/>
    <w:rsid w:val="006D17DE"/>
    <w:rsid w:val="006D30C0"/>
    <w:rsid w:val="006D320E"/>
    <w:rsid w:val="006D6F08"/>
    <w:rsid w:val="006D7953"/>
    <w:rsid w:val="006E062C"/>
    <w:rsid w:val="006E08DF"/>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075A"/>
    <w:rsid w:val="00731D8F"/>
    <w:rsid w:val="0073313D"/>
    <w:rsid w:val="00733C4D"/>
    <w:rsid w:val="00733FD0"/>
    <w:rsid w:val="007348B1"/>
    <w:rsid w:val="00735186"/>
    <w:rsid w:val="007362A6"/>
    <w:rsid w:val="00736411"/>
    <w:rsid w:val="00736D7D"/>
    <w:rsid w:val="00737468"/>
    <w:rsid w:val="007405FB"/>
    <w:rsid w:val="00740E58"/>
    <w:rsid w:val="007417F2"/>
    <w:rsid w:val="007434CD"/>
    <w:rsid w:val="007435F5"/>
    <w:rsid w:val="007445A0"/>
    <w:rsid w:val="0074524B"/>
    <w:rsid w:val="007452E2"/>
    <w:rsid w:val="00747D8B"/>
    <w:rsid w:val="00751228"/>
    <w:rsid w:val="00752E43"/>
    <w:rsid w:val="007571E1"/>
    <w:rsid w:val="00757D90"/>
    <w:rsid w:val="007604B2"/>
    <w:rsid w:val="007610F5"/>
    <w:rsid w:val="0076143E"/>
    <w:rsid w:val="00765281"/>
    <w:rsid w:val="00765C5F"/>
    <w:rsid w:val="00766BAD"/>
    <w:rsid w:val="0077062C"/>
    <w:rsid w:val="00770D10"/>
    <w:rsid w:val="007729A2"/>
    <w:rsid w:val="007735C3"/>
    <w:rsid w:val="007755F2"/>
    <w:rsid w:val="0077642F"/>
    <w:rsid w:val="00776971"/>
    <w:rsid w:val="0077790D"/>
    <w:rsid w:val="00780A80"/>
    <w:rsid w:val="0078177E"/>
    <w:rsid w:val="00782521"/>
    <w:rsid w:val="0078304C"/>
    <w:rsid w:val="00783673"/>
    <w:rsid w:val="00785490"/>
    <w:rsid w:val="00785E02"/>
    <w:rsid w:val="00790872"/>
    <w:rsid w:val="00791833"/>
    <w:rsid w:val="007925EA"/>
    <w:rsid w:val="0079325D"/>
    <w:rsid w:val="00793485"/>
    <w:rsid w:val="00793CD8"/>
    <w:rsid w:val="00795C92"/>
    <w:rsid w:val="00796231"/>
    <w:rsid w:val="007962CB"/>
    <w:rsid w:val="00796956"/>
    <w:rsid w:val="007A17E3"/>
    <w:rsid w:val="007A1A17"/>
    <w:rsid w:val="007A1CB3"/>
    <w:rsid w:val="007A2C92"/>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5A0"/>
    <w:rsid w:val="007E18E0"/>
    <w:rsid w:val="007E1C66"/>
    <w:rsid w:val="007E25EA"/>
    <w:rsid w:val="007E3230"/>
    <w:rsid w:val="007E39AC"/>
    <w:rsid w:val="007E4610"/>
    <w:rsid w:val="007E4715"/>
    <w:rsid w:val="007E4EA4"/>
    <w:rsid w:val="007E505B"/>
    <w:rsid w:val="007E5A29"/>
    <w:rsid w:val="007E7091"/>
    <w:rsid w:val="007F53E7"/>
    <w:rsid w:val="007F6ADA"/>
    <w:rsid w:val="00801E22"/>
    <w:rsid w:val="00803937"/>
    <w:rsid w:val="00803FAE"/>
    <w:rsid w:val="00805D71"/>
    <w:rsid w:val="0080605F"/>
    <w:rsid w:val="00807786"/>
    <w:rsid w:val="0081032C"/>
    <w:rsid w:val="00811FCB"/>
    <w:rsid w:val="00812D69"/>
    <w:rsid w:val="0081328B"/>
    <w:rsid w:val="00814006"/>
    <w:rsid w:val="008158D6"/>
    <w:rsid w:val="0081618A"/>
    <w:rsid w:val="00817196"/>
    <w:rsid w:val="008175B4"/>
    <w:rsid w:val="00821A6D"/>
    <w:rsid w:val="00822604"/>
    <w:rsid w:val="008235DB"/>
    <w:rsid w:val="00824AB4"/>
    <w:rsid w:val="00825C42"/>
    <w:rsid w:val="00825D25"/>
    <w:rsid w:val="00826BCE"/>
    <w:rsid w:val="00827D6F"/>
    <w:rsid w:val="00827E29"/>
    <w:rsid w:val="00833B02"/>
    <w:rsid w:val="00834DD5"/>
    <w:rsid w:val="00835770"/>
    <w:rsid w:val="008376AC"/>
    <w:rsid w:val="00840B74"/>
    <w:rsid w:val="00841089"/>
    <w:rsid w:val="00843099"/>
    <w:rsid w:val="0084348F"/>
    <w:rsid w:val="00843F41"/>
    <w:rsid w:val="008444E8"/>
    <w:rsid w:val="00844E80"/>
    <w:rsid w:val="00844F3D"/>
    <w:rsid w:val="0084550F"/>
    <w:rsid w:val="0084577D"/>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E5B"/>
    <w:rsid w:val="00876F21"/>
    <w:rsid w:val="00877F18"/>
    <w:rsid w:val="008801D6"/>
    <w:rsid w:val="008828A2"/>
    <w:rsid w:val="00883350"/>
    <w:rsid w:val="0088347A"/>
    <w:rsid w:val="00883785"/>
    <w:rsid w:val="00884F2D"/>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C7A06"/>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579C"/>
    <w:rsid w:val="00906939"/>
    <w:rsid w:val="0090797D"/>
    <w:rsid w:val="00910B7D"/>
    <w:rsid w:val="00911DFB"/>
    <w:rsid w:val="009133F4"/>
    <w:rsid w:val="009139D9"/>
    <w:rsid w:val="00914AD8"/>
    <w:rsid w:val="00915D11"/>
    <w:rsid w:val="00916079"/>
    <w:rsid w:val="00917CE9"/>
    <w:rsid w:val="00920BF2"/>
    <w:rsid w:val="00921463"/>
    <w:rsid w:val="00922010"/>
    <w:rsid w:val="00924CEC"/>
    <w:rsid w:val="009257BF"/>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5D8E"/>
    <w:rsid w:val="0098601E"/>
    <w:rsid w:val="00990630"/>
    <w:rsid w:val="00990831"/>
    <w:rsid w:val="009916D9"/>
    <w:rsid w:val="00991761"/>
    <w:rsid w:val="00991D28"/>
    <w:rsid w:val="00994DCA"/>
    <w:rsid w:val="00994F2F"/>
    <w:rsid w:val="009960EC"/>
    <w:rsid w:val="009970DD"/>
    <w:rsid w:val="00997FA6"/>
    <w:rsid w:val="009A05C0"/>
    <w:rsid w:val="009A0FBA"/>
    <w:rsid w:val="009A1601"/>
    <w:rsid w:val="009A375C"/>
    <w:rsid w:val="009A3BB6"/>
    <w:rsid w:val="009A462D"/>
    <w:rsid w:val="009A4DB2"/>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35A"/>
    <w:rsid w:val="009E6605"/>
    <w:rsid w:val="009E71EE"/>
    <w:rsid w:val="009E737F"/>
    <w:rsid w:val="009F06A5"/>
    <w:rsid w:val="009F08F3"/>
    <w:rsid w:val="009F0BD5"/>
    <w:rsid w:val="009F1C18"/>
    <w:rsid w:val="009F23D7"/>
    <w:rsid w:val="009F344F"/>
    <w:rsid w:val="009F3F68"/>
    <w:rsid w:val="009F608F"/>
    <w:rsid w:val="00A0104A"/>
    <w:rsid w:val="00A02A3C"/>
    <w:rsid w:val="00A031D8"/>
    <w:rsid w:val="00A044B8"/>
    <w:rsid w:val="00A048A8"/>
    <w:rsid w:val="00A04F49"/>
    <w:rsid w:val="00A054C7"/>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2A"/>
    <w:rsid w:val="00A80FB3"/>
    <w:rsid w:val="00A8589C"/>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6A8B"/>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F1C5D"/>
    <w:rsid w:val="00AF2EE3"/>
    <w:rsid w:val="00AF35BF"/>
    <w:rsid w:val="00AF42D7"/>
    <w:rsid w:val="00AF4939"/>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0BEB"/>
    <w:rsid w:val="00B1149F"/>
    <w:rsid w:val="00B12704"/>
    <w:rsid w:val="00B14120"/>
    <w:rsid w:val="00B157F9"/>
    <w:rsid w:val="00B17803"/>
    <w:rsid w:val="00B20256"/>
    <w:rsid w:val="00B20D09"/>
    <w:rsid w:val="00B21AF0"/>
    <w:rsid w:val="00B2763F"/>
    <w:rsid w:val="00B27A62"/>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38C"/>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0A35"/>
    <w:rsid w:val="00BD3218"/>
    <w:rsid w:val="00BD48AC"/>
    <w:rsid w:val="00BD4D4D"/>
    <w:rsid w:val="00BD508A"/>
    <w:rsid w:val="00BD5F1A"/>
    <w:rsid w:val="00BE1234"/>
    <w:rsid w:val="00BE2FA6"/>
    <w:rsid w:val="00BE333F"/>
    <w:rsid w:val="00BE42E9"/>
    <w:rsid w:val="00BE6A5F"/>
    <w:rsid w:val="00BE7204"/>
    <w:rsid w:val="00BE7406"/>
    <w:rsid w:val="00BE7603"/>
    <w:rsid w:val="00BE7771"/>
    <w:rsid w:val="00BF03E8"/>
    <w:rsid w:val="00BF1B46"/>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2107"/>
    <w:rsid w:val="00C14D4B"/>
    <w:rsid w:val="00C1512D"/>
    <w:rsid w:val="00C154BB"/>
    <w:rsid w:val="00C17EDA"/>
    <w:rsid w:val="00C21261"/>
    <w:rsid w:val="00C25467"/>
    <w:rsid w:val="00C279B5"/>
    <w:rsid w:val="00C27C45"/>
    <w:rsid w:val="00C32FC3"/>
    <w:rsid w:val="00C3719D"/>
    <w:rsid w:val="00C37CB2"/>
    <w:rsid w:val="00C4316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94D"/>
    <w:rsid w:val="00C8133E"/>
    <w:rsid w:val="00C81568"/>
    <w:rsid w:val="00C822FF"/>
    <w:rsid w:val="00C82A8C"/>
    <w:rsid w:val="00C82CCF"/>
    <w:rsid w:val="00C82FEC"/>
    <w:rsid w:val="00C836D8"/>
    <w:rsid w:val="00C85DA0"/>
    <w:rsid w:val="00C9027A"/>
    <w:rsid w:val="00C9068E"/>
    <w:rsid w:val="00C93814"/>
    <w:rsid w:val="00C93C4B"/>
    <w:rsid w:val="00C9449D"/>
    <w:rsid w:val="00C944AB"/>
    <w:rsid w:val="00C95B40"/>
    <w:rsid w:val="00C97EBF"/>
    <w:rsid w:val="00CA0D3A"/>
    <w:rsid w:val="00CA0E56"/>
    <w:rsid w:val="00CA1ED8"/>
    <w:rsid w:val="00CA26BA"/>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174FC"/>
    <w:rsid w:val="00D20B95"/>
    <w:rsid w:val="00D21882"/>
    <w:rsid w:val="00D232A9"/>
    <w:rsid w:val="00D239A7"/>
    <w:rsid w:val="00D23F47"/>
    <w:rsid w:val="00D252F0"/>
    <w:rsid w:val="00D308C9"/>
    <w:rsid w:val="00D30C9B"/>
    <w:rsid w:val="00D32DE6"/>
    <w:rsid w:val="00D3341B"/>
    <w:rsid w:val="00D34953"/>
    <w:rsid w:val="00D35BE2"/>
    <w:rsid w:val="00D36E71"/>
    <w:rsid w:val="00D37D87"/>
    <w:rsid w:val="00D40B33"/>
    <w:rsid w:val="00D4318F"/>
    <w:rsid w:val="00D438BF"/>
    <w:rsid w:val="00D43BE3"/>
    <w:rsid w:val="00D43F6F"/>
    <w:rsid w:val="00D440F8"/>
    <w:rsid w:val="00D44431"/>
    <w:rsid w:val="00D444CC"/>
    <w:rsid w:val="00D45964"/>
    <w:rsid w:val="00D47F23"/>
    <w:rsid w:val="00D50AA0"/>
    <w:rsid w:val="00D51D31"/>
    <w:rsid w:val="00D527FB"/>
    <w:rsid w:val="00D546FF"/>
    <w:rsid w:val="00D55AD5"/>
    <w:rsid w:val="00D55FD1"/>
    <w:rsid w:val="00D576CA"/>
    <w:rsid w:val="00D61AF5"/>
    <w:rsid w:val="00D6223C"/>
    <w:rsid w:val="00D62A3C"/>
    <w:rsid w:val="00D6426E"/>
    <w:rsid w:val="00D652B5"/>
    <w:rsid w:val="00D66155"/>
    <w:rsid w:val="00D67741"/>
    <w:rsid w:val="00D67D33"/>
    <w:rsid w:val="00D708B0"/>
    <w:rsid w:val="00D70FD8"/>
    <w:rsid w:val="00D71013"/>
    <w:rsid w:val="00D7121A"/>
    <w:rsid w:val="00D71DE2"/>
    <w:rsid w:val="00D7281A"/>
    <w:rsid w:val="00D77B1D"/>
    <w:rsid w:val="00D8021F"/>
    <w:rsid w:val="00D802A7"/>
    <w:rsid w:val="00D80383"/>
    <w:rsid w:val="00D812EF"/>
    <w:rsid w:val="00D823C6"/>
    <w:rsid w:val="00D82FFB"/>
    <w:rsid w:val="00D8327F"/>
    <w:rsid w:val="00D833A9"/>
    <w:rsid w:val="00D833C8"/>
    <w:rsid w:val="00D83449"/>
    <w:rsid w:val="00D83ABB"/>
    <w:rsid w:val="00D855D3"/>
    <w:rsid w:val="00D86CA3"/>
    <w:rsid w:val="00D86F87"/>
    <w:rsid w:val="00D871CE"/>
    <w:rsid w:val="00D90287"/>
    <w:rsid w:val="00D9196D"/>
    <w:rsid w:val="00D919F6"/>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567C"/>
    <w:rsid w:val="00DB75C3"/>
    <w:rsid w:val="00DC19EF"/>
    <w:rsid w:val="00DC2D36"/>
    <w:rsid w:val="00DC3459"/>
    <w:rsid w:val="00DC4058"/>
    <w:rsid w:val="00DC494D"/>
    <w:rsid w:val="00DC5317"/>
    <w:rsid w:val="00DC53EF"/>
    <w:rsid w:val="00DC575B"/>
    <w:rsid w:val="00DC624C"/>
    <w:rsid w:val="00DC7337"/>
    <w:rsid w:val="00DD1DA5"/>
    <w:rsid w:val="00DD3863"/>
    <w:rsid w:val="00DD597E"/>
    <w:rsid w:val="00DD7E22"/>
    <w:rsid w:val="00DE49EE"/>
    <w:rsid w:val="00DE5608"/>
    <w:rsid w:val="00DE58D0"/>
    <w:rsid w:val="00DE654F"/>
    <w:rsid w:val="00DF01EA"/>
    <w:rsid w:val="00DF0B6E"/>
    <w:rsid w:val="00DF15E0"/>
    <w:rsid w:val="00DF316A"/>
    <w:rsid w:val="00DF37A0"/>
    <w:rsid w:val="00DF440B"/>
    <w:rsid w:val="00DF4ABC"/>
    <w:rsid w:val="00DF5C92"/>
    <w:rsid w:val="00E035B9"/>
    <w:rsid w:val="00E0436E"/>
    <w:rsid w:val="00E062FA"/>
    <w:rsid w:val="00E06982"/>
    <w:rsid w:val="00E110E7"/>
    <w:rsid w:val="00E1121C"/>
    <w:rsid w:val="00E11B20"/>
    <w:rsid w:val="00E14268"/>
    <w:rsid w:val="00E14AB1"/>
    <w:rsid w:val="00E16D0C"/>
    <w:rsid w:val="00E17FA2"/>
    <w:rsid w:val="00E22330"/>
    <w:rsid w:val="00E23C8F"/>
    <w:rsid w:val="00E244FA"/>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51"/>
    <w:rsid w:val="00E7243C"/>
    <w:rsid w:val="00E727B7"/>
    <w:rsid w:val="00E72EFC"/>
    <w:rsid w:val="00E7465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6591"/>
    <w:rsid w:val="00EB6D87"/>
    <w:rsid w:val="00EB7619"/>
    <w:rsid w:val="00EB7AC2"/>
    <w:rsid w:val="00EC094D"/>
    <w:rsid w:val="00EC0AD6"/>
    <w:rsid w:val="00EC1F9E"/>
    <w:rsid w:val="00EC24D5"/>
    <w:rsid w:val="00EC27C6"/>
    <w:rsid w:val="00EC4207"/>
    <w:rsid w:val="00EC4A0A"/>
    <w:rsid w:val="00EC5653"/>
    <w:rsid w:val="00EC6B83"/>
    <w:rsid w:val="00EC70FC"/>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E7CE3"/>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40BC"/>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034"/>
    <w:rsid w:val="00F4640C"/>
    <w:rsid w:val="00F46CA9"/>
    <w:rsid w:val="00F4766C"/>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773BB"/>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6C22"/>
    <w:rsid w:val="00F976B6"/>
    <w:rsid w:val="00F97838"/>
    <w:rsid w:val="00FA2BB3"/>
    <w:rsid w:val="00FA2DA3"/>
    <w:rsid w:val="00FA51F7"/>
    <w:rsid w:val="00FA5DD0"/>
    <w:rsid w:val="00FB3E0F"/>
    <w:rsid w:val="00FB4C80"/>
    <w:rsid w:val="00FB4D5A"/>
    <w:rsid w:val="00FB4FA4"/>
    <w:rsid w:val="00FB6A6A"/>
    <w:rsid w:val="00FB7FFB"/>
    <w:rsid w:val="00FC1F38"/>
    <w:rsid w:val="00FC239A"/>
    <w:rsid w:val="00FC2CFC"/>
    <w:rsid w:val="00FC6CF3"/>
    <w:rsid w:val="00FC7429"/>
    <w:rsid w:val="00FC76B9"/>
    <w:rsid w:val="00FD07F6"/>
    <w:rsid w:val="00FD155E"/>
    <w:rsid w:val="00FD15CA"/>
    <w:rsid w:val="00FD1EC8"/>
    <w:rsid w:val="00FD3E99"/>
    <w:rsid w:val="00FD40D2"/>
    <w:rsid w:val="00FD47ED"/>
    <w:rsid w:val="00FD5815"/>
    <w:rsid w:val="00FD6974"/>
    <w:rsid w:val="00FD74DB"/>
    <w:rsid w:val="00FD7660"/>
    <w:rsid w:val="00FE045D"/>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576A52AD-7B22-4C8A-897E-45A4EB881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A6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27A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7A6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109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15B78A7A-2DD5-4E9B-9C4E-D221D4A414EE}"/>
</file>

<file path=customXml/itemProps3.xml><?xml version="1.0" encoding="utf-8"?>
<ds:datastoreItem xmlns:ds="http://schemas.openxmlformats.org/officeDocument/2006/customXml" ds:itemID="{DDB4870E-318E-4762-8B23-991CCA3943A8}">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9b239327-9e80-40e4-b1b7-4394fed77a33"/>
    <ds:schemaRef ds:uri="http://purl.org/dc/elements/1.1/"/>
    <ds:schemaRef ds:uri="http://schemas.openxmlformats.org/package/2006/metadata/core-propertie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050E37C8-2CE3-4BFA-B0AD-0DF7E8C3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9</Pages>
  <Words>2572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16688</CharactersWithSpaces>
  <SharedDoc>false</SharedDoc>
  <HLinks>
    <vt:vector size="66" baseType="variant">
      <vt:variant>
        <vt:i4>1114174</vt:i4>
      </vt:variant>
      <vt:variant>
        <vt:i4>89</vt:i4>
      </vt:variant>
      <vt:variant>
        <vt:i4>0</vt:i4>
      </vt:variant>
      <vt:variant>
        <vt:i4>5</vt:i4>
      </vt:variant>
      <vt:variant>
        <vt:lpwstr/>
      </vt:variant>
      <vt:variant>
        <vt:lpwstr>_Toc46566492</vt:lpwstr>
      </vt:variant>
      <vt:variant>
        <vt:i4>1179710</vt:i4>
      </vt:variant>
      <vt:variant>
        <vt:i4>86</vt:i4>
      </vt:variant>
      <vt:variant>
        <vt:i4>0</vt:i4>
      </vt:variant>
      <vt:variant>
        <vt:i4>5</vt:i4>
      </vt:variant>
      <vt:variant>
        <vt:lpwstr/>
      </vt:variant>
      <vt:variant>
        <vt:lpwstr>_Toc46566491</vt:lpwstr>
      </vt:variant>
      <vt:variant>
        <vt:i4>1245246</vt:i4>
      </vt:variant>
      <vt:variant>
        <vt:i4>83</vt:i4>
      </vt:variant>
      <vt:variant>
        <vt:i4>0</vt:i4>
      </vt:variant>
      <vt:variant>
        <vt:i4>5</vt:i4>
      </vt:variant>
      <vt:variant>
        <vt:lpwstr/>
      </vt:variant>
      <vt:variant>
        <vt:lpwstr>_Toc46566490</vt:lpwstr>
      </vt:variant>
      <vt:variant>
        <vt:i4>1703999</vt:i4>
      </vt:variant>
      <vt:variant>
        <vt:i4>80</vt:i4>
      </vt:variant>
      <vt:variant>
        <vt:i4>0</vt:i4>
      </vt:variant>
      <vt:variant>
        <vt:i4>5</vt:i4>
      </vt:variant>
      <vt:variant>
        <vt:lpwstr/>
      </vt:variant>
      <vt:variant>
        <vt:lpwstr>_Toc46566489</vt:lpwstr>
      </vt:variant>
      <vt:variant>
        <vt:i4>1769535</vt:i4>
      </vt:variant>
      <vt:variant>
        <vt:i4>77</vt:i4>
      </vt:variant>
      <vt:variant>
        <vt:i4>0</vt:i4>
      </vt:variant>
      <vt:variant>
        <vt:i4>5</vt:i4>
      </vt:variant>
      <vt:variant>
        <vt:lpwstr/>
      </vt:variant>
      <vt:variant>
        <vt:lpwstr>_Toc46566488</vt:lpwstr>
      </vt:variant>
      <vt:variant>
        <vt:i4>1310783</vt:i4>
      </vt:variant>
      <vt:variant>
        <vt:i4>74</vt:i4>
      </vt:variant>
      <vt:variant>
        <vt:i4>0</vt:i4>
      </vt:variant>
      <vt:variant>
        <vt:i4>5</vt:i4>
      </vt:variant>
      <vt:variant>
        <vt:lpwstr/>
      </vt:variant>
      <vt:variant>
        <vt:lpwstr>_Toc46566487</vt:lpwstr>
      </vt:variant>
      <vt:variant>
        <vt:i4>1376319</vt:i4>
      </vt:variant>
      <vt:variant>
        <vt:i4>71</vt:i4>
      </vt:variant>
      <vt:variant>
        <vt:i4>0</vt:i4>
      </vt:variant>
      <vt:variant>
        <vt:i4>5</vt:i4>
      </vt:variant>
      <vt:variant>
        <vt:lpwstr/>
      </vt:variant>
      <vt:variant>
        <vt:lpwstr>_Toc46566486</vt:lpwstr>
      </vt:variant>
      <vt:variant>
        <vt:i4>1441855</vt:i4>
      </vt:variant>
      <vt:variant>
        <vt:i4>68</vt:i4>
      </vt:variant>
      <vt:variant>
        <vt:i4>0</vt:i4>
      </vt:variant>
      <vt:variant>
        <vt:i4>5</vt:i4>
      </vt:variant>
      <vt:variant>
        <vt:lpwstr/>
      </vt:variant>
      <vt:variant>
        <vt:lpwstr>_Toc46566485</vt:lpwstr>
      </vt:variant>
      <vt:variant>
        <vt:i4>1507391</vt:i4>
      </vt:variant>
      <vt:variant>
        <vt:i4>62</vt:i4>
      </vt:variant>
      <vt:variant>
        <vt:i4>0</vt:i4>
      </vt:variant>
      <vt:variant>
        <vt:i4>5</vt:i4>
      </vt:variant>
      <vt:variant>
        <vt:lpwstr/>
      </vt:variant>
      <vt:variant>
        <vt:lpwstr>_Toc46566484</vt:lpwstr>
      </vt:variant>
      <vt:variant>
        <vt:i4>1048639</vt:i4>
      </vt:variant>
      <vt:variant>
        <vt:i4>59</vt:i4>
      </vt:variant>
      <vt:variant>
        <vt:i4>0</vt:i4>
      </vt:variant>
      <vt:variant>
        <vt:i4>5</vt:i4>
      </vt:variant>
      <vt:variant>
        <vt:lpwstr/>
      </vt:variant>
      <vt:variant>
        <vt:lpwstr>_Toc46566483</vt:lpwstr>
      </vt:variant>
      <vt:variant>
        <vt:i4>1114175</vt:i4>
      </vt:variant>
      <vt:variant>
        <vt:i4>56</vt:i4>
      </vt:variant>
      <vt:variant>
        <vt:i4>0</vt:i4>
      </vt:variant>
      <vt:variant>
        <vt:i4>5</vt:i4>
      </vt:variant>
      <vt:variant>
        <vt:lpwstr/>
      </vt:variant>
      <vt:variant>
        <vt:lpwstr>_Toc46566482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319</cp:revision>
  <dcterms:created xsi:type="dcterms:W3CDTF">2019-05-04T21:01:00Z</dcterms:created>
  <dcterms:modified xsi:type="dcterms:W3CDTF">2020-08-07T18:38:00Z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